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7845" w:rsidRDefault="004C7845" w:rsidP="00666B37">
      <w:pPr>
        <w:jc w:val="both"/>
        <w:rPr>
          <w:b/>
        </w:rPr>
      </w:pPr>
      <w:r>
        <w:rPr>
          <w:b/>
        </w:rPr>
        <w:t>Introduction</w:t>
      </w:r>
    </w:p>
    <w:p w:rsidR="004C7845" w:rsidRPr="00393561" w:rsidRDefault="004C7845" w:rsidP="004C7845">
      <w:pPr>
        <w:autoSpaceDE w:val="0"/>
        <w:autoSpaceDN w:val="0"/>
        <w:adjustRightInd w:val="0"/>
        <w:spacing w:after="0" w:line="240" w:lineRule="auto"/>
        <w:rPr>
          <w:rFonts w:cs="AdvTimes-b"/>
        </w:rPr>
      </w:pPr>
      <w:r w:rsidRPr="004C7845">
        <w:t>PI3Ka inhibitor PIK-108</w:t>
      </w:r>
      <w:r>
        <w:t>,</w:t>
      </w:r>
      <w:r w:rsidRPr="004C7845">
        <w:t xml:space="preserve"> in addition to occupying the active site, it </w:t>
      </w:r>
      <w:r>
        <w:t xml:space="preserve">was recently found to </w:t>
      </w:r>
      <w:r w:rsidRPr="004C7845">
        <w:t xml:space="preserve">bind to a second, unexpected site </w:t>
      </w:r>
      <w:r w:rsidRPr="004C7845">
        <w:rPr>
          <w:rFonts w:cs="AdvTimes-b"/>
        </w:rPr>
        <w:t xml:space="preserve">in the </w:t>
      </w:r>
      <w:proofErr w:type="spellStart"/>
      <w:r w:rsidRPr="004C7845">
        <w:rPr>
          <w:rFonts w:cs="AdvTimes-b"/>
        </w:rPr>
        <w:t>kinase</w:t>
      </w:r>
      <w:proofErr w:type="spellEnd"/>
      <w:r w:rsidRPr="004C7845">
        <w:rPr>
          <w:rFonts w:cs="AdvTimes-b"/>
        </w:rPr>
        <w:t xml:space="preserve"> C-lobe</w:t>
      </w:r>
      <w:r>
        <w:rPr>
          <w:rFonts w:cs="AdvTimes-b"/>
        </w:rPr>
        <w:t xml:space="preserve"> (PDB ID: 4a55)</w:t>
      </w:r>
      <w:r w:rsidR="00393561">
        <w:rPr>
          <w:rFonts w:cs="AdvTimes-b"/>
        </w:rPr>
        <w:t>, which is located close to the area of the protein that interacts with the membrane</w:t>
      </w:r>
      <w:r>
        <w:rPr>
          <w:rFonts w:cs="AdvTimes-b"/>
        </w:rPr>
        <w:t xml:space="preserve"> [Hon et al]</w:t>
      </w:r>
      <w:r w:rsidRPr="004C7845">
        <w:rPr>
          <w:rFonts w:cs="AdvTimes-b"/>
        </w:rPr>
        <w:t>.</w:t>
      </w:r>
      <w:r>
        <w:rPr>
          <w:rFonts w:cs="AdvTimes-b"/>
        </w:rPr>
        <w:t xml:space="preserve"> PIK-108 was found to bear a high degree of similarity with </w:t>
      </w:r>
      <w:r w:rsidR="00393561">
        <w:rPr>
          <w:rFonts w:cs="AdvTimes-b"/>
        </w:rPr>
        <w:t xml:space="preserve">LY294002, </w:t>
      </w:r>
      <w:r w:rsidRPr="004C7845">
        <w:rPr>
          <w:rFonts w:cs="AdvTimes-b"/>
        </w:rPr>
        <w:t xml:space="preserve">a </w:t>
      </w:r>
      <w:proofErr w:type="spellStart"/>
      <w:r w:rsidRPr="004C7845">
        <w:rPr>
          <w:rFonts w:cs="AdvTimes-b"/>
        </w:rPr>
        <w:t>μM</w:t>
      </w:r>
      <w:proofErr w:type="spellEnd"/>
      <w:r w:rsidRPr="004C7845">
        <w:rPr>
          <w:rFonts w:cs="AdvTimes-b"/>
        </w:rPr>
        <w:t xml:space="preserve"> inhibitor of PI3Ka</w:t>
      </w:r>
      <w:r w:rsidR="00393561">
        <w:rPr>
          <w:rFonts w:cs="AdvTimes-b"/>
        </w:rPr>
        <w:t xml:space="preserve"> (</w:t>
      </w:r>
      <w:proofErr w:type="spellStart"/>
      <w:r w:rsidR="00393561">
        <w:rPr>
          <w:rFonts w:cs="AdvTimes-b"/>
        </w:rPr>
        <w:t>Tc</w:t>
      </w:r>
      <w:proofErr w:type="spellEnd"/>
      <w:r w:rsidR="00393561">
        <w:rPr>
          <w:rFonts w:cs="AdvTimes-b"/>
        </w:rPr>
        <w:t xml:space="preserve"> = 0.91</w:t>
      </w:r>
      <w:r w:rsidR="00491A36">
        <w:rPr>
          <w:rFonts w:cs="AdvTimes-b"/>
        </w:rPr>
        <w:t xml:space="preserve"> [</w:t>
      </w:r>
      <w:proofErr w:type="spellStart"/>
      <w:r w:rsidR="00491A36">
        <w:rPr>
          <w:rFonts w:cs="AdvTimes-b"/>
        </w:rPr>
        <w:t>Athanassiadis</w:t>
      </w:r>
      <w:proofErr w:type="spellEnd"/>
      <w:r w:rsidR="00491A36">
        <w:rPr>
          <w:rFonts w:cs="AdvTimes-b"/>
        </w:rPr>
        <w:t xml:space="preserve"> et al]</w:t>
      </w:r>
      <w:r w:rsidR="00393561">
        <w:rPr>
          <w:rFonts w:cs="AdvTimes-b"/>
        </w:rPr>
        <w:t>)</w:t>
      </w:r>
      <w:r w:rsidRPr="004C7845">
        <w:rPr>
          <w:rFonts w:cs="AdvTimes-b"/>
        </w:rPr>
        <w:t xml:space="preserve"> (Figure 1). Driven by this observation, we docked </w:t>
      </w:r>
      <w:r w:rsidR="00393561">
        <w:rPr>
          <w:rFonts w:cs="AdvTimes-b"/>
        </w:rPr>
        <w:t xml:space="preserve">both compounds in the newly-discovered </w:t>
      </w:r>
      <w:r>
        <w:rPr>
          <w:rFonts w:cs="AdvTimes-b"/>
        </w:rPr>
        <w:t xml:space="preserve">binding site of </w:t>
      </w:r>
      <w:r w:rsidR="00393561">
        <w:rPr>
          <w:rFonts w:cs="AdvTimes-b"/>
        </w:rPr>
        <w:t>PI3Ka in structure 4a55 and their interactions were modeled in the human and mouse WT PI3Ka proteins as well as the human mutant H1047R with Molecular Dynamics simulations in order to assess their stability and interactions in this binding site.</w:t>
      </w:r>
    </w:p>
    <w:p w:rsidR="004C7845" w:rsidRDefault="004C7845" w:rsidP="004C7845">
      <w:pPr>
        <w:autoSpaceDE w:val="0"/>
        <w:autoSpaceDN w:val="0"/>
        <w:adjustRightInd w:val="0"/>
        <w:spacing w:after="0" w:line="240" w:lineRule="auto"/>
        <w:rPr>
          <w:rFonts w:ascii="AdvTimes-b" w:hAnsi="AdvTimes-b" w:cs="AdvTimes-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4C7845" w:rsidTr="004C7845">
        <w:tc>
          <w:tcPr>
            <w:tcW w:w="4788" w:type="dxa"/>
          </w:tcPr>
          <w:p w:rsidR="004C7845" w:rsidRDefault="004C7845" w:rsidP="004C7845">
            <w:pPr>
              <w:jc w:val="center"/>
              <w:rPr>
                <w:b/>
              </w:rPr>
            </w:pPr>
            <w:r w:rsidRPr="00E03187">
              <w:rPr>
                <w:b/>
              </w:rPr>
              <w:drawing>
                <wp:inline distT="0" distB="0" distL="0" distR="0">
                  <wp:extent cx="2247900" cy="1210945"/>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1210945"/>
                          </a:xfrm>
                          <a:prstGeom prst="rect">
                            <a:avLst/>
                          </a:prstGeom>
                          <a:noFill/>
                          <a:ln>
                            <a:noFill/>
                          </a:ln>
                        </pic:spPr>
                      </pic:pic>
                    </a:graphicData>
                  </a:graphic>
                </wp:inline>
              </w:drawing>
            </w:r>
          </w:p>
        </w:tc>
        <w:tc>
          <w:tcPr>
            <w:tcW w:w="4788" w:type="dxa"/>
          </w:tcPr>
          <w:p w:rsidR="004C7845" w:rsidRDefault="004C7845" w:rsidP="004C7845">
            <w:pPr>
              <w:rPr>
                <w:b/>
              </w:rPr>
            </w:pPr>
            <w:r w:rsidRPr="00E03187">
              <w:rPr>
                <w:b/>
              </w:rPr>
              <w:drawing>
                <wp:inline distT="0" distB="0" distL="0" distR="0">
                  <wp:extent cx="1561465" cy="1514475"/>
                  <wp:effectExtent l="19050" t="0" r="63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1465" cy="1514475"/>
                          </a:xfrm>
                          <a:prstGeom prst="rect">
                            <a:avLst/>
                          </a:prstGeom>
                          <a:noFill/>
                          <a:ln>
                            <a:noFill/>
                          </a:ln>
                        </pic:spPr>
                      </pic:pic>
                    </a:graphicData>
                  </a:graphic>
                </wp:inline>
              </w:drawing>
            </w:r>
          </w:p>
        </w:tc>
      </w:tr>
      <w:tr w:rsidR="004C7845" w:rsidTr="004C7845">
        <w:tc>
          <w:tcPr>
            <w:tcW w:w="4788" w:type="dxa"/>
          </w:tcPr>
          <w:p w:rsidR="004C7845" w:rsidRDefault="004C7845" w:rsidP="004C7845">
            <w:pPr>
              <w:jc w:val="center"/>
              <w:rPr>
                <w:b/>
              </w:rPr>
            </w:pPr>
            <w:r>
              <w:rPr>
                <w:b/>
              </w:rPr>
              <w:t>PIK-108</w:t>
            </w:r>
          </w:p>
        </w:tc>
        <w:tc>
          <w:tcPr>
            <w:tcW w:w="4788" w:type="dxa"/>
          </w:tcPr>
          <w:p w:rsidR="004C7845" w:rsidRDefault="004C7845" w:rsidP="004C7845">
            <w:pPr>
              <w:rPr>
                <w:b/>
              </w:rPr>
            </w:pPr>
            <w:r>
              <w:rPr>
                <w:b/>
              </w:rPr>
              <w:t xml:space="preserve">             LY294002</w:t>
            </w:r>
          </w:p>
        </w:tc>
      </w:tr>
      <w:tr w:rsidR="004C7845" w:rsidTr="004C7845">
        <w:tc>
          <w:tcPr>
            <w:tcW w:w="4788" w:type="dxa"/>
          </w:tcPr>
          <w:p w:rsidR="004C7845" w:rsidRDefault="004C7845" w:rsidP="004C7845">
            <w:pPr>
              <w:rPr>
                <w:b/>
              </w:rPr>
            </w:pPr>
          </w:p>
        </w:tc>
        <w:tc>
          <w:tcPr>
            <w:tcW w:w="4788" w:type="dxa"/>
          </w:tcPr>
          <w:p w:rsidR="004C7845" w:rsidRDefault="004C7845" w:rsidP="004C7845">
            <w:pPr>
              <w:rPr>
                <w:b/>
              </w:rPr>
            </w:pPr>
          </w:p>
        </w:tc>
      </w:tr>
    </w:tbl>
    <w:p w:rsidR="004C7845" w:rsidRDefault="004C7845" w:rsidP="004C7845">
      <w:pPr>
        <w:autoSpaceDE w:val="0"/>
        <w:autoSpaceDN w:val="0"/>
        <w:adjustRightInd w:val="0"/>
        <w:spacing w:after="0" w:line="240" w:lineRule="auto"/>
        <w:rPr>
          <w:rFonts w:ascii="AdvTimes-b" w:hAnsi="AdvTimes-b" w:cs="AdvTimes-b"/>
          <w:sz w:val="20"/>
          <w:szCs w:val="20"/>
        </w:rPr>
      </w:pPr>
      <w:proofErr w:type="gramStart"/>
      <w:r w:rsidRPr="00373480">
        <w:rPr>
          <w:rFonts w:ascii="AdvTimes-b" w:hAnsi="AdvTimes-b" w:cs="AdvTimes-b"/>
          <w:b/>
          <w:sz w:val="20"/>
          <w:szCs w:val="20"/>
        </w:rPr>
        <w:t>Figure 1.</w:t>
      </w:r>
      <w:proofErr w:type="gramEnd"/>
      <w:r>
        <w:rPr>
          <w:rFonts w:ascii="AdvTimes-b" w:hAnsi="AdvTimes-b" w:cs="AdvTimes-b"/>
          <w:sz w:val="20"/>
          <w:szCs w:val="20"/>
        </w:rPr>
        <w:t xml:space="preserve"> </w:t>
      </w:r>
      <w:proofErr w:type="gramStart"/>
      <w:r>
        <w:rPr>
          <w:rFonts w:ascii="AdvTimes-b" w:hAnsi="AdvTimes-b" w:cs="AdvTimes-b"/>
          <w:sz w:val="20"/>
          <w:szCs w:val="20"/>
        </w:rPr>
        <w:t>The structures of PIK-108 and LY294002.</w:t>
      </w:r>
      <w:proofErr w:type="gramEnd"/>
    </w:p>
    <w:p w:rsidR="004C7845" w:rsidRPr="004C7845" w:rsidRDefault="004C7845" w:rsidP="004C7845">
      <w:pPr>
        <w:autoSpaceDE w:val="0"/>
        <w:autoSpaceDN w:val="0"/>
        <w:adjustRightInd w:val="0"/>
        <w:spacing w:after="0" w:line="240" w:lineRule="auto"/>
      </w:pPr>
      <w:r>
        <w:t xml:space="preserve"> </w:t>
      </w:r>
    </w:p>
    <w:p w:rsidR="00393561" w:rsidRDefault="00393561" w:rsidP="00666B37">
      <w:pPr>
        <w:jc w:val="both"/>
        <w:rPr>
          <w:b/>
        </w:rPr>
      </w:pPr>
    </w:p>
    <w:p w:rsidR="00E03187" w:rsidRDefault="00E03187" w:rsidP="00666B37">
      <w:pPr>
        <w:jc w:val="both"/>
        <w:rPr>
          <w:b/>
        </w:rPr>
      </w:pPr>
      <w:r w:rsidRPr="00E03187">
        <w:rPr>
          <w:b/>
        </w:rPr>
        <w:t>Docking</w:t>
      </w:r>
    </w:p>
    <w:p w:rsidR="00393561" w:rsidRDefault="00393561" w:rsidP="00393561">
      <w:pPr>
        <w:autoSpaceDE w:val="0"/>
        <w:autoSpaceDN w:val="0"/>
        <w:adjustRightInd w:val="0"/>
        <w:spacing w:after="0" w:line="240" w:lineRule="auto"/>
      </w:pPr>
      <w:r>
        <w:t xml:space="preserve">The crystal structure of the </w:t>
      </w:r>
      <w:proofErr w:type="spellStart"/>
      <w:r w:rsidR="00491A36">
        <w:t>murine</w:t>
      </w:r>
      <w:proofErr w:type="spellEnd"/>
      <w:r w:rsidR="00491A36">
        <w:t xml:space="preserve"> PI3Ka (PDB ID: 4a55</w:t>
      </w:r>
      <w:r>
        <w:t xml:space="preserve">) was downloaded from the protein databank. </w:t>
      </w:r>
    </w:p>
    <w:p w:rsidR="00491A36" w:rsidRDefault="00393561" w:rsidP="00373480">
      <w:pPr>
        <w:autoSpaceDE w:val="0"/>
        <w:autoSpaceDN w:val="0"/>
        <w:adjustRightInd w:val="0"/>
        <w:spacing w:after="0" w:line="240" w:lineRule="auto"/>
        <w:rPr>
          <w:rFonts w:cs="Times-Roman"/>
        </w:rPr>
      </w:pPr>
      <w:r>
        <w:t>Initially</w:t>
      </w:r>
      <w:r w:rsidRPr="00A805F5">
        <w:t>, h</w:t>
      </w:r>
      <w:r w:rsidRPr="00A805F5">
        <w:rPr>
          <w:rFonts w:cs="Times-Roman"/>
        </w:rPr>
        <w:t>ydrogen atoms were added to</w:t>
      </w:r>
      <w:r>
        <w:rPr>
          <w:rFonts w:cs="Times-Roman"/>
        </w:rPr>
        <w:t xml:space="preserve"> the crystal structure</w:t>
      </w:r>
      <w:r w:rsidRPr="00A805F5">
        <w:rPr>
          <w:rFonts w:cs="Times-Roman"/>
        </w:rPr>
        <w:t xml:space="preserve"> and the </w:t>
      </w:r>
      <w:r>
        <w:rPr>
          <w:rFonts w:cs="Times-Roman"/>
        </w:rPr>
        <w:t>protein</w:t>
      </w:r>
      <w:r w:rsidRPr="00A805F5">
        <w:rPr>
          <w:rFonts w:cs="Times-Roman"/>
        </w:rPr>
        <w:t xml:space="preserve"> was submitted to a series of restrained,</w:t>
      </w:r>
      <w:r>
        <w:rPr>
          <w:rFonts w:cs="Times-Roman"/>
        </w:rPr>
        <w:t xml:space="preserve"> </w:t>
      </w:r>
      <w:r w:rsidRPr="00A805F5">
        <w:rPr>
          <w:rFonts w:cs="Times-Roman"/>
        </w:rPr>
        <w:t>partial</w:t>
      </w:r>
      <w:r>
        <w:rPr>
          <w:rFonts w:cs="Times-Roman"/>
        </w:rPr>
        <w:t xml:space="preserve"> minimizations using the OPLS-2005</w:t>
      </w:r>
      <w:r w:rsidRPr="00A805F5">
        <w:rPr>
          <w:rFonts w:cs="Times-Roman"/>
        </w:rPr>
        <w:t xml:space="preserve"> force field within the</w:t>
      </w:r>
      <w:r>
        <w:rPr>
          <w:rFonts w:cs="Times-Roman"/>
        </w:rPr>
        <w:t xml:space="preserve"> </w:t>
      </w:r>
      <w:r w:rsidRPr="00A805F5">
        <w:rPr>
          <w:rFonts w:cs="Times-Roman"/>
        </w:rPr>
        <w:t>“</w:t>
      </w:r>
      <w:r>
        <w:rPr>
          <w:rFonts w:cs="Times-Roman"/>
        </w:rPr>
        <w:t xml:space="preserve">Protein </w:t>
      </w:r>
      <w:r w:rsidRPr="00A805F5">
        <w:rPr>
          <w:rFonts w:cs="Times-Roman"/>
        </w:rPr>
        <w:t>Preparation</w:t>
      </w:r>
      <w:r>
        <w:rPr>
          <w:rFonts w:cs="Times-Roman"/>
        </w:rPr>
        <w:t xml:space="preserve"> Wizard</w:t>
      </w:r>
      <w:r w:rsidRPr="00A805F5">
        <w:rPr>
          <w:rFonts w:cs="Times-Roman"/>
        </w:rPr>
        <w:t xml:space="preserve">” module of </w:t>
      </w:r>
      <w:r>
        <w:rPr>
          <w:rFonts w:cs="Times-Roman"/>
        </w:rPr>
        <w:t>Maestro</w:t>
      </w:r>
      <w:r w:rsidRPr="00A805F5">
        <w:rPr>
          <w:rFonts w:cs="Times-Roman"/>
        </w:rPr>
        <w:t>. To compensate for the fixed protein structure,</w:t>
      </w:r>
      <w:r>
        <w:rPr>
          <w:rFonts w:cs="Times-Roman"/>
        </w:rPr>
        <w:t xml:space="preserve"> </w:t>
      </w:r>
      <w:r w:rsidRPr="00A805F5">
        <w:rPr>
          <w:rFonts w:cs="Times-Roman"/>
        </w:rPr>
        <w:t>which is not expected to be optimal for a particular ligand, the van</w:t>
      </w:r>
      <w:r>
        <w:rPr>
          <w:rFonts w:cs="Times-Roman"/>
        </w:rPr>
        <w:t xml:space="preserve"> </w:t>
      </w:r>
      <w:r w:rsidRPr="00A805F5">
        <w:rPr>
          <w:rFonts w:cs="Times-Roman"/>
        </w:rPr>
        <w:t xml:space="preserve">der Waals radii for </w:t>
      </w:r>
      <w:proofErr w:type="spellStart"/>
      <w:r w:rsidRPr="00A805F5">
        <w:rPr>
          <w:rFonts w:cs="Times-Roman"/>
        </w:rPr>
        <w:t>nonpolar</w:t>
      </w:r>
      <w:proofErr w:type="spellEnd"/>
      <w:r w:rsidRPr="00A805F5">
        <w:rPr>
          <w:rFonts w:cs="Times-Roman"/>
        </w:rPr>
        <w:t xml:space="preserve"> ligand atoms were scaled by a factor</w:t>
      </w:r>
      <w:r>
        <w:rPr>
          <w:rFonts w:cs="Times-Roman"/>
        </w:rPr>
        <w:t xml:space="preserve"> </w:t>
      </w:r>
      <w:r w:rsidRPr="00A805F5">
        <w:rPr>
          <w:rFonts w:cs="Times-Roman"/>
        </w:rPr>
        <w:t>of 0.8, thereby decreasing penalties for close contacts. Receptor</w:t>
      </w:r>
      <w:r>
        <w:rPr>
          <w:rFonts w:cs="Times-Roman"/>
        </w:rPr>
        <w:t xml:space="preserve"> </w:t>
      </w:r>
      <w:r w:rsidRPr="00A805F5">
        <w:rPr>
          <w:rFonts w:cs="Times-Roman"/>
        </w:rPr>
        <w:t xml:space="preserve">atoms were not scaled. </w:t>
      </w:r>
      <w:r w:rsidR="00491A36">
        <w:rPr>
          <w:rFonts w:cs="Times-Roman"/>
        </w:rPr>
        <w:t>D</w:t>
      </w:r>
      <w:r w:rsidR="00491A36" w:rsidRPr="00A805F5">
        <w:rPr>
          <w:rFonts w:cs="Times-Roman"/>
        </w:rPr>
        <w:t>ocking calcu</w:t>
      </w:r>
      <w:r w:rsidR="00491A36">
        <w:rPr>
          <w:rFonts w:cs="Times-Roman"/>
        </w:rPr>
        <w:t>lations were performed with Glide 5.8</w:t>
      </w:r>
      <w:r w:rsidR="00491A36" w:rsidRPr="00A805F5">
        <w:rPr>
          <w:rFonts w:cs="Times-Roman"/>
        </w:rPr>
        <w:t xml:space="preserve"> (Schrodinger, LLC).</w:t>
      </w:r>
      <w:r w:rsidR="00491A36" w:rsidRPr="00A805F5">
        <w:t xml:space="preserve"> </w:t>
      </w:r>
      <w:r w:rsidRPr="00A805F5">
        <w:rPr>
          <w:rFonts w:cs="Times-Roman"/>
        </w:rPr>
        <w:t>For the protein preparation, grid generation,</w:t>
      </w:r>
      <w:r>
        <w:rPr>
          <w:rFonts w:cs="Times-Roman"/>
        </w:rPr>
        <w:t xml:space="preserve"> </w:t>
      </w:r>
      <w:r w:rsidRPr="00A805F5">
        <w:rPr>
          <w:rFonts w:cs="Times-Roman"/>
        </w:rPr>
        <w:t>and ligand docking procedures, default settings were used.</w:t>
      </w:r>
      <w:r>
        <w:rPr>
          <w:rFonts w:cs="Times-Roman"/>
        </w:rPr>
        <w:t xml:space="preserve"> </w:t>
      </w:r>
      <w:r w:rsidR="00491A36">
        <w:rPr>
          <w:rFonts w:cs="Times-Roman"/>
        </w:rPr>
        <w:t>Ligands PIK-108 and LY294002 were</w:t>
      </w:r>
      <w:r w:rsidRPr="002356AB">
        <w:rPr>
          <w:rFonts w:cs="Times-Roman"/>
        </w:rPr>
        <w:t xml:space="preserve"> docked and scored in the </w:t>
      </w:r>
      <w:r w:rsidR="00491A36">
        <w:rPr>
          <w:rFonts w:cs="Times-Roman"/>
        </w:rPr>
        <w:t>novel binding pocket of PI3Ka</w:t>
      </w:r>
      <w:r w:rsidRPr="002356AB">
        <w:rPr>
          <w:rFonts w:cs="Times-Roman"/>
        </w:rPr>
        <w:t xml:space="preserve"> using the Glide standard precision (SP) mode followed by the Glide extra precision (XP) mode.</w:t>
      </w:r>
      <w:r w:rsidRPr="0006198D">
        <w:rPr>
          <w:rFonts w:cs="Times-Roman"/>
        </w:rPr>
        <w:t xml:space="preserve"> R</w:t>
      </w:r>
      <w:r>
        <w:rPr>
          <w:rFonts w:cs="Times-Roman"/>
        </w:rPr>
        <w:t xml:space="preserve">otation of receptor </w:t>
      </w:r>
      <w:proofErr w:type="spellStart"/>
      <w:r>
        <w:rPr>
          <w:rFonts w:cs="Times-Roman"/>
        </w:rPr>
        <w:t>thiol</w:t>
      </w:r>
      <w:proofErr w:type="spellEnd"/>
      <w:r>
        <w:rPr>
          <w:rFonts w:cs="Times-Roman"/>
        </w:rPr>
        <w:t xml:space="preserve"> and hydroxyl groups was enabled.</w:t>
      </w:r>
    </w:p>
    <w:p w:rsidR="00373480" w:rsidRPr="00373480" w:rsidRDefault="00373480" w:rsidP="00373480">
      <w:pPr>
        <w:autoSpaceDE w:val="0"/>
        <w:autoSpaceDN w:val="0"/>
        <w:adjustRightInd w:val="0"/>
        <w:spacing w:after="0" w:line="240" w:lineRule="auto"/>
        <w:rPr>
          <w:rFonts w:cs="Times-Roman"/>
        </w:rPr>
      </w:pPr>
    </w:p>
    <w:p w:rsidR="00E03187" w:rsidRPr="00D37717" w:rsidRDefault="004C7845" w:rsidP="00D37717">
      <w:pPr>
        <w:autoSpaceDE w:val="0"/>
        <w:autoSpaceDN w:val="0"/>
        <w:adjustRightInd w:val="0"/>
        <w:spacing w:after="0" w:line="240" w:lineRule="auto"/>
        <w:rPr>
          <w:rFonts w:cs="AdvTimes-b"/>
        </w:rPr>
      </w:pPr>
      <w:r w:rsidRPr="004C7845">
        <w:t xml:space="preserve">Docking </w:t>
      </w:r>
      <w:r w:rsidR="00491A36">
        <w:t xml:space="preserve">with Glide </w:t>
      </w:r>
      <w:r w:rsidRPr="004C7845">
        <w:t>accurately reproduces the binding pose of the PIK-108 crystal structure (</w:t>
      </w:r>
      <w:r w:rsidR="00373480">
        <w:t xml:space="preserve">Figure 2A) with an </w:t>
      </w:r>
      <w:proofErr w:type="gramStart"/>
      <w:r w:rsidR="00373480">
        <w:t>RMSD  of</w:t>
      </w:r>
      <w:proofErr w:type="gramEnd"/>
      <w:r w:rsidR="00373480">
        <w:t xml:space="preserve"> 0.2Å</w:t>
      </w:r>
      <w:r w:rsidRPr="004C7845">
        <w:t xml:space="preserve">. Docking of LY in the </w:t>
      </w:r>
      <w:r w:rsidR="00D37717">
        <w:t xml:space="preserve">binding </w:t>
      </w:r>
      <w:r w:rsidRPr="004C7845">
        <w:t xml:space="preserve">site also overlaps the crystal structure very well (see </w:t>
      </w:r>
      <w:r w:rsidR="00D37717">
        <w:t>Figure 2B</w:t>
      </w:r>
      <w:r w:rsidRPr="004C7845">
        <w:t>)</w:t>
      </w:r>
      <w:r w:rsidR="00D37717">
        <w:t>. Also, t</w:t>
      </w:r>
      <w:r w:rsidRPr="004C7845">
        <w:t>he two docked poses of PIK-108 and LY also overlay nicely</w:t>
      </w:r>
      <w:r w:rsidR="00D37717">
        <w:t xml:space="preserve"> (Figure 2C). Based on these observations, we proceeded with an MD study of</w:t>
      </w:r>
      <w:r w:rsidR="00D37717" w:rsidRPr="00D37717">
        <w:t xml:space="preserve"> </w:t>
      </w:r>
      <w:r w:rsidR="00D37717" w:rsidRPr="004C7845">
        <w:t>PIK-108 and LY</w:t>
      </w:r>
      <w:r w:rsidR="00D37717">
        <w:t xml:space="preserve"> in this new binding site of PI3Ka </w:t>
      </w:r>
      <w:proofErr w:type="spellStart"/>
      <w:r w:rsidR="00D37717">
        <w:rPr>
          <w:rFonts w:cs="AdvTimes-b"/>
        </w:rPr>
        <w:t>in</w:t>
      </w:r>
      <w:proofErr w:type="spellEnd"/>
      <w:r w:rsidR="00D37717">
        <w:rPr>
          <w:rFonts w:cs="AdvTimes-b"/>
        </w:rPr>
        <w:t xml:space="preserve"> the human and mouse WT PI3Ka proteins as well as the human mutant H1047R</w:t>
      </w:r>
      <w:r w:rsidR="00D37717" w:rsidRPr="00D37717">
        <w:rPr>
          <w:rFonts w:cs="AdvTimes-b"/>
        </w:rPr>
        <w:t xml:space="preserve"> </w:t>
      </w:r>
      <w:r w:rsidR="00D37717">
        <w:rPr>
          <w:rFonts w:cs="AdvTimes-b"/>
        </w:rPr>
        <w:t>in order to assess their stability and interactions in this binding site.</w:t>
      </w:r>
    </w:p>
    <w:tbl>
      <w:tblPr>
        <w:tblStyle w:val="TableGrid"/>
        <w:tblW w:w="0" w:type="auto"/>
        <w:tblLook w:val="04A0"/>
      </w:tblPr>
      <w:tblGrid>
        <w:gridCol w:w="3252"/>
        <w:gridCol w:w="3196"/>
        <w:gridCol w:w="3128"/>
      </w:tblGrid>
      <w:tr w:rsidR="00491A36" w:rsidTr="00491A36">
        <w:tc>
          <w:tcPr>
            <w:tcW w:w="3192" w:type="dxa"/>
          </w:tcPr>
          <w:p w:rsidR="00491A36" w:rsidRDefault="00491A36" w:rsidP="00666B37">
            <w:pPr>
              <w:jc w:val="both"/>
              <w:rPr>
                <w:b/>
              </w:rPr>
            </w:pPr>
            <w:r>
              <w:rPr>
                <w:b/>
                <w:noProof/>
              </w:rPr>
              <w:lastRenderedPageBreak/>
              <w:drawing>
                <wp:inline distT="0" distB="0" distL="0" distR="0">
                  <wp:extent cx="1985802" cy="2009775"/>
                  <wp:effectExtent l="19050" t="0" r="0" b="0"/>
                  <wp:docPr id="20" name="Picture 19" descr="dock-PIK-108-crystalstructure4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k-PIK-108-crystalstructure4a55.png"/>
                          <pic:cNvPicPr/>
                        </pic:nvPicPr>
                        <pic:blipFill>
                          <a:blip r:embed="rId10" cstate="print"/>
                          <a:stretch>
                            <a:fillRect/>
                          </a:stretch>
                        </pic:blipFill>
                        <pic:spPr>
                          <a:xfrm>
                            <a:off x="0" y="0"/>
                            <a:ext cx="1988871" cy="2012881"/>
                          </a:xfrm>
                          <a:prstGeom prst="rect">
                            <a:avLst/>
                          </a:prstGeom>
                        </pic:spPr>
                      </pic:pic>
                    </a:graphicData>
                  </a:graphic>
                </wp:inline>
              </w:drawing>
            </w:r>
          </w:p>
        </w:tc>
        <w:tc>
          <w:tcPr>
            <w:tcW w:w="3192" w:type="dxa"/>
          </w:tcPr>
          <w:p w:rsidR="00491A36" w:rsidRDefault="00491A36" w:rsidP="00666B37">
            <w:pPr>
              <w:jc w:val="both"/>
              <w:rPr>
                <w:b/>
              </w:rPr>
            </w:pPr>
            <w:r>
              <w:rPr>
                <w:b/>
                <w:noProof/>
              </w:rPr>
              <w:drawing>
                <wp:inline distT="0" distB="0" distL="0" distR="0">
                  <wp:extent cx="1949984" cy="2009775"/>
                  <wp:effectExtent l="19050" t="0" r="0" b="0"/>
                  <wp:docPr id="28" name="Picture 27" descr="dock-LY-crystalstructure4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k-LY-crystalstructure4a55.png"/>
                          <pic:cNvPicPr/>
                        </pic:nvPicPr>
                        <pic:blipFill>
                          <a:blip r:embed="rId11" cstate="print"/>
                          <a:stretch>
                            <a:fillRect/>
                          </a:stretch>
                        </pic:blipFill>
                        <pic:spPr>
                          <a:xfrm>
                            <a:off x="0" y="0"/>
                            <a:ext cx="1954653" cy="2014588"/>
                          </a:xfrm>
                          <a:prstGeom prst="rect">
                            <a:avLst/>
                          </a:prstGeom>
                        </pic:spPr>
                      </pic:pic>
                    </a:graphicData>
                  </a:graphic>
                </wp:inline>
              </w:drawing>
            </w:r>
          </w:p>
        </w:tc>
        <w:tc>
          <w:tcPr>
            <w:tcW w:w="3192" w:type="dxa"/>
          </w:tcPr>
          <w:p w:rsidR="00491A36" w:rsidRDefault="00373480" w:rsidP="00666B37">
            <w:pPr>
              <w:jc w:val="both"/>
              <w:rPr>
                <w:b/>
              </w:rPr>
            </w:pPr>
            <w:r>
              <w:rPr>
                <w:b/>
                <w:noProof/>
              </w:rPr>
              <w:drawing>
                <wp:inline distT="0" distB="0" distL="0" distR="0">
                  <wp:extent cx="1905000" cy="2006560"/>
                  <wp:effectExtent l="19050" t="0" r="0" b="0"/>
                  <wp:docPr id="30" name="Picture 29" descr="dock-LY-PIK-108-4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k-LY-PIK-108-4a55.png"/>
                          <pic:cNvPicPr/>
                        </pic:nvPicPr>
                        <pic:blipFill>
                          <a:blip r:embed="rId12" cstate="print"/>
                          <a:stretch>
                            <a:fillRect/>
                          </a:stretch>
                        </pic:blipFill>
                        <pic:spPr>
                          <a:xfrm>
                            <a:off x="0" y="0"/>
                            <a:ext cx="1908474" cy="2010219"/>
                          </a:xfrm>
                          <a:prstGeom prst="rect">
                            <a:avLst/>
                          </a:prstGeom>
                        </pic:spPr>
                      </pic:pic>
                    </a:graphicData>
                  </a:graphic>
                </wp:inline>
              </w:drawing>
            </w:r>
          </w:p>
        </w:tc>
      </w:tr>
    </w:tbl>
    <w:p w:rsidR="00E03187" w:rsidRPr="00373480" w:rsidRDefault="00373480" w:rsidP="00373480">
      <w:pPr>
        <w:pStyle w:val="ListParagraph"/>
        <w:numPr>
          <w:ilvl w:val="0"/>
          <w:numId w:val="1"/>
        </w:numPr>
        <w:jc w:val="both"/>
        <w:rPr>
          <w:b/>
        </w:rPr>
      </w:pPr>
      <w:r>
        <w:rPr>
          <w:b/>
        </w:rPr>
        <w:t xml:space="preserve">                                             (B)                                                           (C)</w:t>
      </w:r>
    </w:p>
    <w:p w:rsidR="00373480" w:rsidRDefault="00373480" w:rsidP="00666B37">
      <w:pPr>
        <w:jc w:val="both"/>
      </w:pPr>
      <w:proofErr w:type="gramStart"/>
      <w:r>
        <w:rPr>
          <w:b/>
        </w:rPr>
        <w:t>Figure 2.</w:t>
      </w:r>
      <w:proofErr w:type="gramEnd"/>
      <w:r>
        <w:rPr>
          <w:b/>
        </w:rPr>
        <w:t xml:space="preserve"> </w:t>
      </w:r>
      <w:proofErr w:type="gramStart"/>
      <w:r>
        <w:t>Docking of PIK-108 and LY294002 on the novel binding site of PI3Ka.</w:t>
      </w:r>
      <w:proofErr w:type="gramEnd"/>
      <w:r>
        <w:t xml:space="preserve"> (A) Overlay of the docked PIK-108 (yellow) with the crystal structure of PIK-108 (green) in the binding site of the protein. (B) Overlay of the docked LY294002 (pink) with the crystal structure of PIK-108 (green) in the binding site of the protein. (C) Overlay of the docked PIK-108 (yellow) with the docked LY294002 (pink) in the binding site of the protein.</w:t>
      </w:r>
    </w:p>
    <w:p w:rsidR="00373480" w:rsidRDefault="00373480" w:rsidP="00666B37">
      <w:pPr>
        <w:jc w:val="both"/>
      </w:pPr>
    </w:p>
    <w:p w:rsidR="00E03187" w:rsidRPr="00E03187" w:rsidRDefault="00E03187" w:rsidP="00666B37">
      <w:pPr>
        <w:jc w:val="both"/>
        <w:rPr>
          <w:b/>
        </w:rPr>
      </w:pPr>
      <w:r w:rsidRPr="00E03187">
        <w:rPr>
          <w:b/>
        </w:rPr>
        <w:t>Molecular Dynamics Simulations</w:t>
      </w:r>
    </w:p>
    <w:p w:rsidR="00666B37" w:rsidRDefault="00666B37" w:rsidP="00666B37">
      <w:pPr>
        <w:jc w:val="both"/>
      </w:pPr>
      <w:r>
        <w:t xml:space="preserve">Unbiased Molecular Dynamics simulations in aqueous solution were performed for the wild type (WT) human, WT murine, and H1047R mutant proteins with PIK-108 placed in both catalytic and </w:t>
      </w:r>
      <w:proofErr w:type="spellStart"/>
      <w:r>
        <w:t>allosteric</w:t>
      </w:r>
      <w:proofErr w:type="spellEnd"/>
      <w:r>
        <w:t xml:space="preserve"> sites</w:t>
      </w:r>
      <w:r w:rsidR="00E03187">
        <w:t xml:space="preserve"> as seen in a recent crystallographic structure [Hon et al]</w:t>
      </w:r>
      <w:r>
        <w:t xml:space="preserve">. The same type of simulations in the WT human and mutant human proteins were also performed for the known PI3K inhibitor, LY294002. </w:t>
      </w:r>
      <w:r w:rsidR="00E03187">
        <w:t>PIK-108 remained stable in both sites in all three variants.</w:t>
      </w:r>
    </w:p>
    <w:p w:rsidR="00C03598" w:rsidRPr="00203F90" w:rsidRDefault="00C03598" w:rsidP="00C03598">
      <w:pPr>
        <w:jc w:val="both"/>
        <w:rPr>
          <w:u w:val="single"/>
        </w:rPr>
      </w:pPr>
      <w:r w:rsidRPr="00203F90">
        <w:rPr>
          <w:u w:val="single"/>
        </w:rPr>
        <w:t>Model Construction and Refinement</w:t>
      </w:r>
    </w:p>
    <w:p w:rsidR="00AB2D50" w:rsidRDefault="00C03598" w:rsidP="007D0DAC">
      <w:pPr>
        <w:jc w:val="both"/>
      </w:pPr>
      <w:r>
        <w:t>Atomistic models of the human and murine WT and H1047R PI3K</w:t>
      </w:r>
      <w:r>
        <w:rPr>
          <w:rFonts w:cstheme="minorHAnsi"/>
        </w:rPr>
        <w:t>α</w:t>
      </w:r>
      <w:r>
        <w:t xml:space="preserve"> mutant were created with </w:t>
      </w:r>
      <w:proofErr w:type="spellStart"/>
      <w:r>
        <w:t>Modeller</w:t>
      </w:r>
      <w:proofErr w:type="spellEnd"/>
      <w:r>
        <w:t xml:space="preserve"> 9v8 [Sali1993] from the respective crystal structures [Hon2012, Mandelker2009], through a combination of homology and loop modeling. The model of the human WT p110α was constructed using the model of p110</w:t>
      </w:r>
      <w:r>
        <w:rPr>
          <w:rFonts w:cstheme="minorHAnsi"/>
        </w:rPr>
        <w:t>α</w:t>
      </w:r>
      <w:r w:rsidR="00AB2D50">
        <w:t xml:space="preserve"> </w:t>
      </w:r>
      <w:r>
        <w:t>described in [</w:t>
      </w:r>
      <w:proofErr w:type="spellStart"/>
      <w:r>
        <w:t>Evangelidis</w:t>
      </w:r>
      <w:proofErr w:type="spellEnd"/>
      <w:r>
        <w:t xml:space="preserve"> et al., 2013]</w:t>
      </w:r>
      <w:r w:rsidR="00AB2D50">
        <w:t xml:space="preserve"> (PDB ID: 2RD0)</w:t>
      </w:r>
      <w:r>
        <w:t>. The model of the human H1047R PI3K</w:t>
      </w:r>
      <w:r w:rsidR="007D0DAC">
        <w:rPr>
          <w:rFonts w:cstheme="minorHAnsi"/>
        </w:rPr>
        <w:t>α</w:t>
      </w:r>
      <w:r>
        <w:t xml:space="preserve"> mutant was constructed from </w:t>
      </w:r>
      <w:r w:rsidR="00AB2D50">
        <w:t xml:space="preserve">PDB ID: </w:t>
      </w:r>
      <w:r>
        <w:t>3HIZ. The parameters used for homology and loop modeling were the same as the ones describ</w:t>
      </w:r>
      <w:r w:rsidR="007D0DAC">
        <w:t xml:space="preserve">ed in </w:t>
      </w:r>
      <w:proofErr w:type="spellStart"/>
      <w:r w:rsidR="007D0DAC">
        <w:t>Evangelidis</w:t>
      </w:r>
      <w:proofErr w:type="spellEnd"/>
      <w:r w:rsidR="007D0DAC">
        <w:t xml:space="preserve"> et al., 2013.</w:t>
      </w:r>
      <w:r w:rsidR="00AB2D50">
        <w:t xml:space="preserve"> PIK-108 was placed in the corresponding non-ATP binding pocket by superimposing the 4A55 structure with the models of the human WT and human H1047R mutant.</w:t>
      </w:r>
    </w:p>
    <w:p w:rsidR="00C03598" w:rsidRPr="00203F90" w:rsidRDefault="007D0DAC" w:rsidP="007D0DAC">
      <w:pPr>
        <w:jc w:val="both"/>
        <w:rPr>
          <w:u w:val="single"/>
        </w:rPr>
      </w:pPr>
      <w:r w:rsidRPr="00203F90">
        <w:rPr>
          <w:u w:val="single"/>
        </w:rPr>
        <w:t>Simulation Parameters</w:t>
      </w:r>
    </w:p>
    <w:p w:rsidR="00C03598" w:rsidRDefault="00C03598" w:rsidP="00D76E3A">
      <w:pPr>
        <w:jc w:val="both"/>
      </w:pPr>
      <w:r>
        <w:t>For each system</w:t>
      </w:r>
      <w:r w:rsidR="00AB2D50">
        <w:t xml:space="preserve"> </w:t>
      </w:r>
      <w:r>
        <w:t xml:space="preserve">we considered a rhombic dodecahedron periodic box with a minimum distance of 10 </w:t>
      </w:r>
      <w:r w:rsidR="007D0DAC">
        <w:rPr>
          <w:rFonts w:cstheme="minorHAnsi"/>
        </w:rPr>
        <w:t>Å</w:t>
      </w:r>
      <w:r>
        <w:t xml:space="preserve"> between the protein and the box walls to ensure the proteins would not directly</w:t>
      </w:r>
      <w:r w:rsidR="007D0DAC">
        <w:t xml:space="preserve"> </w:t>
      </w:r>
      <w:r>
        <w:t xml:space="preserve">interact with their periodic image. All simulations were performed using GROMACS 4.5.4 software </w:t>
      </w:r>
      <w:r w:rsidR="007D0DAC">
        <w:t>[gromacs4]</w:t>
      </w:r>
      <w:r>
        <w:t xml:space="preserve">, using the </w:t>
      </w:r>
      <w:r>
        <w:lastRenderedPageBreak/>
        <w:t>AMBER99SB-</w:t>
      </w:r>
      <w:r w:rsidR="007D0DAC">
        <w:t>ILDN all-atom force field [</w:t>
      </w:r>
      <w:proofErr w:type="spellStart"/>
      <w:r w:rsidR="007D0DAC">
        <w:t>amberILDN</w:t>
      </w:r>
      <w:proofErr w:type="spellEnd"/>
      <w:r w:rsidR="007D0DAC">
        <w:t>]</w:t>
      </w:r>
      <w:r>
        <w:t xml:space="preserve"> to model </w:t>
      </w:r>
      <w:r w:rsidR="007D0DAC">
        <w:t>t</w:t>
      </w:r>
      <w:r>
        <w:t xml:space="preserve">he proteins </w:t>
      </w:r>
      <w:r w:rsidR="007D0DAC">
        <w:t>and the TIP3P water model [Jorgensen1983]</w:t>
      </w:r>
      <w:r>
        <w:t>. The long-range electrostatic interactions were treated using the fast particle-me</w:t>
      </w:r>
      <w:r w:rsidR="007D0DAC">
        <w:t xml:space="preserve">sh </w:t>
      </w:r>
      <w:proofErr w:type="spellStart"/>
      <w:r w:rsidR="007D0DAC">
        <w:t>Ewald</w:t>
      </w:r>
      <w:proofErr w:type="spellEnd"/>
      <w:r w:rsidR="007D0DAC">
        <w:t xml:space="preserve"> summation method [</w:t>
      </w:r>
      <w:r>
        <w:t>Essmann</w:t>
      </w:r>
      <w:r w:rsidR="007D0DAC">
        <w:t>1995]</w:t>
      </w:r>
      <w:r>
        <w:t>. The temperature during simulations was kept c</w:t>
      </w:r>
      <w:r w:rsidR="007D0DAC">
        <w:t>onstant at 310 K using the Nos</w:t>
      </w:r>
      <w:r>
        <w:t>e-Hoover thermostat with a time constant of 1</w:t>
      </w:r>
      <w:r w:rsidR="00D87D3A">
        <w:t xml:space="preserve"> </w:t>
      </w:r>
      <w:proofErr w:type="spellStart"/>
      <w:r>
        <w:t>ps</w:t>
      </w:r>
      <w:proofErr w:type="spellEnd"/>
      <w:r>
        <w:t xml:space="preserve"> </w:t>
      </w:r>
      <w:r w:rsidR="007D0DAC">
        <w:t>[Nose1984]</w:t>
      </w:r>
      <w:r>
        <w:t xml:space="preserve">. The pressure was </w:t>
      </w:r>
      <w:proofErr w:type="spellStart"/>
      <w:r>
        <w:t>isotropically</w:t>
      </w:r>
      <w:proofErr w:type="spellEnd"/>
      <w:r>
        <w:t xml:space="preserve"> maintained at 1 </w:t>
      </w:r>
      <w:proofErr w:type="spellStart"/>
      <w:r>
        <w:t>atm</w:t>
      </w:r>
      <w:proofErr w:type="spellEnd"/>
      <w:r>
        <w:t xml:space="preserve"> using the </w:t>
      </w:r>
      <w:proofErr w:type="spellStart"/>
      <w:r>
        <w:t>Pa</w:t>
      </w:r>
      <w:r w:rsidR="007D0DAC">
        <w:t>rrinello-Rahman</w:t>
      </w:r>
      <w:proofErr w:type="spellEnd"/>
      <w:r w:rsidR="007D0DAC">
        <w:t xml:space="preserve"> coupling with a</w:t>
      </w:r>
      <w:r>
        <w:t xml:space="preserve"> time constant</w:t>
      </w:r>
      <w:r w:rsidR="00BD6BA8">
        <w:t xml:space="preserve"> </w:t>
      </w:r>
      <w:r>
        <w:t>of 5</w:t>
      </w:r>
      <w:r w:rsidR="00D87D3A">
        <w:t xml:space="preserve"> </w:t>
      </w:r>
      <w:proofErr w:type="spellStart"/>
      <w:r>
        <w:t>ps</w:t>
      </w:r>
      <w:proofErr w:type="spellEnd"/>
      <w:r>
        <w:t xml:space="preserve"> and compressibility of 4.5e-5 bar</w:t>
      </w:r>
      <w:r w:rsidRPr="00BD6BA8">
        <w:rPr>
          <w:vertAlign w:val="superscript"/>
        </w:rPr>
        <w:t>-1</w:t>
      </w:r>
      <w:r w:rsidR="00BD6BA8">
        <w:t xml:space="preserve"> [Parrinello1981]</w:t>
      </w:r>
      <w:r>
        <w:t xml:space="preserve">. A time step of 2 </w:t>
      </w:r>
      <w:proofErr w:type="spellStart"/>
      <w:r>
        <w:t>fs</w:t>
      </w:r>
      <w:proofErr w:type="spellEnd"/>
      <w:r>
        <w:t xml:space="preserve"> was used with all bond lengths constrained </w:t>
      </w:r>
      <w:r w:rsidR="00BD6BA8">
        <w:t>using the LINCS algorithm [Hess1997]</w:t>
      </w:r>
      <w:r>
        <w:t xml:space="preserve">. The non-bonded potential energy functions were cut off and shifted, with forces smoothly decaying between 8 </w:t>
      </w:r>
      <w:r w:rsidR="00BD6BA8">
        <w:rPr>
          <w:rFonts w:cstheme="minorHAnsi"/>
        </w:rPr>
        <w:t>Å</w:t>
      </w:r>
      <w:r>
        <w:t xml:space="preserve"> and 10 </w:t>
      </w:r>
      <w:r w:rsidR="00BD6BA8">
        <w:rPr>
          <w:rFonts w:cstheme="minorHAnsi"/>
        </w:rPr>
        <w:t>Å</w:t>
      </w:r>
      <w:r>
        <w:t xml:space="preserve"> for the van der Waals, and from 0 </w:t>
      </w:r>
      <w:r w:rsidR="00BD6BA8">
        <w:rPr>
          <w:rFonts w:cstheme="minorHAnsi"/>
        </w:rPr>
        <w:t>Å</w:t>
      </w:r>
      <w:r>
        <w:t xml:space="preserve"> to 11 </w:t>
      </w:r>
      <w:r w:rsidR="00BD6BA8">
        <w:rPr>
          <w:rFonts w:cstheme="minorHAnsi"/>
        </w:rPr>
        <w:t>Å</w:t>
      </w:r>
      <w:r>
        <w:t xml:space="preserve"> for the electrostatic forces.</w:t>
      </w:r>
      <w:r w:rsidR="00BD6BA8">
        <w:t xml:space="preserve"> </w:t>
      </w:r>
      <w:r>
        <w:t xml:space="preserve">Prior to MD simulations, all the structures were relaxed by 10,000 steps of energy minimization using steepest descent algorithm, followed by position restraint equilibration first in the NVT and then in the NPT ensemble for 200 </w:t>
      </w:r>
      <w:proofErr w:type="spellStart"/>
      <w:r>
        <w:t>ps</w:t>
      </w:r>
      <w:proofErr w:type="spellEnd"/>
      <w:r>
        <w:t>, respectively. Finally, unbiased MD simulations were carried out with the atomic coordinates of</w:t>
      </w:r>
      <w:r w:rsidR="00D76E3A">
        <w:t xml:space="preserve"> the systems saved every 2 ps. </w:t>
      </w:r>
    </w:p>
    <w:p w:rsidR="00C03598" w:rsidRPr="00203F90" w:rsidRDefault="00C03598" w:rsidP="00C03598">
      <w:pPr>
        <w:rPr>
          <w:u w:val="single"/>
        </w:rPr>
      </w:pPr>
      <w:r w:rsidRPr="00203F90">
        <w:rPr>
          <w:u w:val="single"/>
        </w:rPr>
        <w:t>System Equi</w:t>
      </w:r>
      <w:r w:rsidR="00BD6BA8" w:rsidRPr="00203F90">
        <w:rPr>
          <w:u w:val="single"/>
        </w:rPr>
        <w:t>libration</w:t>
      </w:r>
    </w:p>
    <w:p w:rsidR="00C03598" w:rsidRDefault="00C03598" w:rsidP="00BD6BA8">
      <w:pPr>
        <w:jc w:val="both"/>
      </w:pPr>
      <w:r>
        <w:t xml:space="preserve">To ensure that we perform the analysis at systems that have reached equilibrium, we used two different </w:t>
      </w:r>
      <w:r w:rsidR="00BD6BA8">
        <w:t>methods: (1) the total C</w:t>
      </w:r>
      <w:r w:rsidR="00BD6BA8">
        <w:rPr>
          <w:rFonts w:cstheme="minorHAnsi"/>
        </w:rPr>
        <w:t>α</w:t>
      </w:r>
      <w:r>
        <w:t xml:space="preserve"> carbon RMSD, and (2) the cosine content of the first three principal components</w:t>
      </w:r>
      <w:r w:rsidR="002C092A">
        <w:t xml:space="preserve"> (PCs)</w:t>
      </w:r>
      <w:r>
        <w:t xml:space="preserve">. The cosine content was introduced by Hess </w:t>
      </w:r>
      <w:r w:rsidR="00BD6BA8">
        <w:t>[Hess2002]</w:t>
      </w:r>
      <w:r>
        <w:t xml:space="preserve"> as a negative indicator of random diffusion processes. Hess demonstrated that when the conformational sampling is insufficient, the system is dominated by high-dimensional random diffusion and the ﬁrst few PCs resemble cosine curves. Practically, </w:t>
      </w:r>
      <w:r w:rsidR="002C092A">
        <w:t>the</w:t>
      </w:r>
      <w:r w:rsidR="00BD6BA8">
        <w:t xml:space="preserve"> cosine content </w:t>
      </w:r>
      <w:r>
        <w:t>c</w:t>
      </w:r>
      <w:r w:rsidR="00BD6BA8" w:rsidRPr="00BD6BA8">
        <w:rPr>
          <w:vertAlign w:val="subscript"/>
        </w:rPr>
        <w:t>i</w:t>
      </w:r>
      <w:r>
        <w:t xml:space="preserve"> of a principal component </w:t>
      </w:r>
      <w:r w:rsidR="00BD6BA8">
        <w:t>p</w:t>
      </w:r>
      <w:r w:rsidRPr="00BD6BA8">
        <w:rPr>
          <w:vertAlign w:val="subscript"/>
        </w:rPr>
        <w:t>i</w:t>
      </w:r>
      <w:r>
        <w:t xml:space="preserve"> can take values between 0 (no cosine) and 1 (perfect cosine)</w:t>
      </w:r>
      <w:r w:rsidR="00BD6BA8">
        <w:t xml:space="preserve"> and</w:t>
      </w:r>
      <w:r>
        <w:t xml:space="preserve"> is a useful negative indicator of convergenc</w:t>
      </w:r>
      <w:r w:rsidR="002C092A">
        <w:t>e, i.e.</w:t>
      </w:r>
      <w:r>
        <w:t xml:space="preserve"> when the cosine content is close to 1, the simulation is not converged. In this study, the simulations were assessed as converged when the cosine content of the first principal component fell below 0.5.</w:t>
      </w:r>
    </w:p>
    <w:p w:rsidR="00C03598" w:rsidRPr="00203F90" w:rsidRDefault="00BD6BA8" w:rsidP="00C03598">
      <w:pPr>
        <w:rPr>
          <w:u w:val="single"/>
        </w:rPr>
      </w:pPr>
      <w:r w:rsidRPr="00203F90">
        <w:rPr>
          <w:u w:val="single"/>
        </w:rPr>
        <w:t>Analysis</w:t>
      </w:r>
    </w:p>
    <w:p w:rsidR="00D76E3A" w:rsidRDefault="00841F42" w:rsidP="00B77384">
      <w:pPr>
        <w:jc w:val="both"/>
      </w:pPr>
      <w:r>
        <w:t xml:space="preserve">The global translational and rotational motions of the protein were removed using GROMACS. The resulting trajectories were analyzed with GROMACS tools v4.5.5. Images were created with </w:t>
      </w:r>
      <w:proofErr w:type="spellStart"/>
      <w:r>
        <w:t>PyMOL</w:t>
      </w:r>
      <w:proofErr w:type="spellEnd"/>
      <w:r>
        <w:t xml:space="preserve"> [</w:t>
      </w:r>
      <w:proofErr w:type="spellStart"/>
      <w:r>
        <w:t>PyMOL</w:t>
      </w:r>
      <w:proofErr w:type="spellEnd"/>
      <w:r>
        <w:t xml:space="preserve"> citation] and VMD [</w:t>
      </w:r>
      <w:proofErr w:type="spellStart"/>
      <w:r>
        <w:t>vmd</w:t>
      </w:r>
      <w:proofErr w:type="spellEnd"/>
      <w:r>
        <w:t xml:space="preserve"> citation], and plots were prepared with the </w:t>
      </w:r>
      <w:proofErr w:type="spellStart"/>
      <w:r>
        <w:t>GRaphing</w:t>
      </w:r>
      <w:proofErr w:type="spellEnd"/>
      <w:r>
        <w:t>, Advanced Computation and Exploration (GRACE) program (Grace</w:t>
      </w:r>
      <w:r w:rsidR="00D76E3A">
        <w:t xml:space="preserve"> Development Core Team, 2011). </w:t>
      </w:r>
    </w:p>
    <w:p w:rsidR="00D76E3A" w:rsidRDefault="00841F42" w:rsidP="00B77384">
      <w:pPr>
        <w:jc w:val="both"/>
      </w:pPr>
      <w:r>
        <w:t xml:space="preserve">For </w:t>
      </w:r>
      <w:r w:rsidR="00B77384">
        <w:t xml:space="preserve">the </w:t>
      </w:r>
      <w:r>
        <w:t xml:space="preserve">cluster analysis </w:t>
      </w:r>
      <w:r w:rsidR="00B77384">
        <w:t>t</w:t>
      </w:r>
      <w:r>
        <w:t>he highly flexible loop residues 1-7, 231-240, 291-330, 410-417, 505-530, 863-872, 941-95</w:t>
      </w:r>
      <w:r w:rsidR="00B77384">
        <w:t>2, 1047-1068 have been excluded</w:t>
      </w:r>
      <w:r>
        <w:t xml:space="preserve">. </w:t>
      </w:r>
      <w:r w:rsidR="001A6216">
        <w:t>T</w:t>
      </w:r>
      <w:r w:rsidR="00C03598">
        <w:t>he “</w:t>
      </w:r>
      <w:proofErr w:type="spellStart"/>
      <w:r w:rsidR="00C03598">
        <w:t>gromos</w:t>
      </w:r>
      <w:proofErr w:type="spellEnd"/>
      <w:r w:rsidR="00C03598">
        <w:t xml:space="preserve">” algorithm </w:t>
      </w:r>
      <w:r w:rsidR="001A6216">
        <w:t xml:space="preserve">was used for the clustering. For the PIK-108 systems a cutoff distance of 2.3 </w:t>
      </w:r>
      <w:r w:rsidR="001A6216">
        <w:rPr>
          <w:rFonts w:cstheme="minorHAnsi"/>
        </w:rPr>
        <w:t>Å was used</w:t>
      </w:r>
      <w:r w:rsidR="00C03598">
        <w:t xml:space="preserve"> </w:t>
      </w:r>
      <w:r w:rsidR="001A6216">
        <w:t xml:space="preserve">for the WT human and WT murine whereas a cutoff distance of 2.5 </w:t>
      </w:r>
      <w:r w:rsidR="001A6216">
        <w:rPr>
          <w:rFonts w:cstheme="minorHAnsi"/>
        </w:rPr>
        <w:t>Å</w:t>
      </w:r>
      <w:r w:rsidR="001A6216">
        <w:t xml:space="preserve"> was chosen for the H1047R human protein. A cutoff distance of 2.3 </w:t>
      </w:r>
      <w:r w:rsidR="001A6216">
        <w:rPr>
          <w:rFonts w:cstheme="minorHAnsi"/>
        </w:rPr>
        <w:t xml:space="preserve">Å was used for both the LY294002 systems. The chosen cutoffs </w:t>
      </w:r>
      <w:r w:rsidR="00C03598">
        <w:t xml:space="preserve">produced several clusters, the first three of which represented </w:t>
      </w:r>
      <w:r w:rsidR="001A6216">
        <w:t xml:space="preserve">more than </w:t>
      </w:r>
      <w:r w:rsidR="00086657">
        <w:t>89</w:t>
      </w:r>
      <w:r w:rsidR="00C03598">
        <w:t>% of the conformational spa</w:t>
      </w:r>
      <w:r>
        <w:t xml:space="preserve">ce of the WT </w:t>
      </w:r>
      <w:r w:rsidR="00B77384">
        <w:t xml:space="preserve">human, </w:t>
      </w:r>
      <w:r w:rsidR="00086657">
        <w:t>90</w:t>
      </w:r>
      <w:r w:rsidR="00B77384">
        <w:t>% of the WT murine</w:t>
      </w:r>
      <w:r w:rsidR="00086657">
        <w:t>,</w:t>
      </w:r>
      <w:r w:rsidR="00B77384">
        <w:t xml:space="preserve"> </w:t>
      </w:r>
      <w:r>
        <w:t xml:space="preserve">and </w:t>
      </w:r>
      <w:r w:rsidR="00086657">
        <w:t>87</w:t>
      </w:r>
      <w:r>
        <w:t xml:space="preserve">% of the </w:t>
      </w:r>
      <w:r w:rsidR="00C03598">
        <w:t>mutant</w:t>
      </w:r>
      <w:r w:rsidR="00B77384">
        <w:t xml:space="preserve"> for the PIK-108 simulations</w:t>
      </w:r>
      <w:r w:rsidR="00C03598">
        <w:t xml:space="preserve">. </w:t>
      </w:r>
      <w:r w:rsidR="00086657">
        <w:t xml:space="preserve">These percentages were 88% and 94% for the WT human and H1047R human proteins with the LY294002. </w:t>
      </w:r>
    </w:p>
    <w:p w:rsidR="00C03598" w:rsidRDefault="00C03598" w:rsidP="00B77384">
      <w:pPr>
        <w:jc w:val="both"/>
      </w:pPr>
      <w:r>
        <w:t>Principal component analysis (PCA) of an MD trajectory, also known as essential dynamics, is a technique routinely used to separate large-scale correlated motions in a system fr</w:t>
      </w:r>
      <w:r w:rsidR="00B77384">
        <w:t>om random thermal fluctuations.</w:t>
      </w:r>
      <w:r>
        <w:t xml:space="preserve"> The steps of PCA are: (1) the removal of global translational and rotational motions, (2) the </w:t>
      </w:r>
      <w:r>
        <w:lastRenderedPageBreak/>
        <w:t xml:space="preserve">calculation of the variance-covariance matrix of the interatomic fluctuations, and (3) the diagonalization of the matrix (S. Hayward and B.L. de Groot, 2008). </w:t>
      </w:r>
      <w:r w:rsidR="00B77384">
        <w:t>T</w:t>
      </w:r>
      <w:r>
        <w:t>he global translational and rotational motions of the protein were removed as described above and the elements of the variance-covariance matrix of positional fluctuations were calculated</w:t>
      </w:r>
      <w:r w:rsidR="00B77384">
        <w:t>.</w:t>
      </w:r>
      <w:r>
        <w:t xml:space="preserve"> Each eigenvector µ</w:t>
      </w:r>
      <w:r w:rsidRPr="00E04FA4">
        <w:rPr>
          <w:vertAlign w:val="subscript"/>
        </w:rPr>
        <w:t>i</w:t>
      </w:r>
      <w:r>
        <w:t xml:space="preserve"> has a corresponding </w:t>
      </w:r>
      <w:proofErr w:type="spellStart"/>
      <w:r>
        <w:t>eigenvalue</w:t>
      </w:r>
      <w:proofErr w:type="spellEnd"/>
      <w:r>
        <w:t xml:space="preserve"> </w:t>
      </w:r>
      <w:proofErr w:type="spellStart"/>
      <w:r>
        <w:t>λ</w:t>
      </w:r>
      <w:r w:rsidRPr="00E04FA4">
        <w:rPr>
          <w:vertAlign w:val="subscript"/>
        </w:rPr>
        <w:t>i</w:t>
      </w:r>
      <w:proofErr w:type="spellEnd"/>
      <w:r>
        <w:t xml:space="preserve">, which denotes the mean square coordinate ﬂuctuation in the direction of the eigenvector µi. The trajectory can be projected onto the eigenvectors to give the principal components </w:t>
      </w:r>
      <w:proofErr w:type="gramStart"/>
      <w:r>
        <w:t>p</w:t>
      </w:r>
      <w:r w:rsidRPr="00E04FA4">
        <w:rPr>
          <w:vertAlign w:val="subscript"/>
        </w:rPr>
        <w:t>i</w:t>
      </w:r>
      <w:r>
        <w:t>(</w:t>
      </w:r>
      <w:proofErr w:type="gramEnd"/>
      <w:r>
        <w:t>t)</w:t>
      </w:r>
      <w:r w:rsidR="00B77384">
        <w:t xml:space="preserve">. </w:t>
      </w:r>
      <w:r>
        <w:t>The PCA was performed on the whole protein</w:t>
      </w:r>
      <w:r w:rsidR="00B77384">
        <w:t xml:space="preserve"> taking into account only</w:t>
      </w:r>
      <w:r>
        <w:t xml:space="preserve"> the Cα carbon coordinates </w:t>
      </w:r>
      <w:r w:rsidR="00B77384">
        <w:t>of the non-flexible loops</w:t>
      </w:r>
      <w:r>
        <w:t xml:space="preserve"> in order to extract pure low-frequen</w:t>
      </w:r>
      <w:r w:rsidR="00B77384">
        <w:t>cy motions of the molecule [</w:t>
      </w:r>
      <w:r>
        <w:t xml:space="preserve">S. </w:t>
      </w:r>
      <w:r w:rsidR="00B77384">
        <w:t>Hayward and B.L. de Groot, 2008]</w:t>
      </w:r>
      <w:r>
        <w:t xml:space="preserve">. These loops encompass residues 1-7, 231-240, 291-330, 410-417, 505-530, 863-872, 941-952, </w:t>
      </w:r>
      <w:proofErr w:type="gramStart"/>
      <w:r>
        <w:t>1047</w:t>
      </w:r>
      <w:proofErr w:type="gramEnd"/>
      <w:r>
        <w:t>-1068.</w:t>
      </w:r>
    </w:p>
    <w:p w:rsidR="00C03598" w:rsidRPr="00B77384" w:rsidRDefault="00B77384" w:rsidP="00C03598">
      <w:pPr>
        <w:rPr>
          <w:b/>
          <w:sz w:val="24"/>
          <w:szCs w:val="24"/>
        </w:rPr>
      </w:pPr>
      <w:r w:rsidRPr="00B77384">
        <w:rPr>
          <w:b/>
          <w:sz w:val="24"/>
          <w:szCs w:val="24"/>
        </w:rPr>
        <w:t>Results</w:t>
      </w:r>
    </w:p>
    <w:p w:rsidR="00C03598" w:rsidRPr="00203F90" w:rsidRDefault="00B77384" w:rsidP="001F1B22">
      <w:pPr>
        <w:spacing w:after="0"/>
        <w:rPr>
          <w:u w:val="single"/>
        </w:rPr>
      </w:pPr>
      <w:r w:rsidRPr="00203F90">
        <w:rPr>
          <w:u w:val="single"/>
        </w:rPr>
        <w:t>Systems Equilibration</w:t>
      </w:r>
    </w:p>
    <w:p w:rsidR="00395560" w:rsidRDefault="00C03598" w:rsidP="00D76E3A">
      <w:pPr>
        <w:spacing w:after="0"/>
        <w:jc w:val="both"/>
      </w:pPr>
      <w:r>
        <w:t>In order to establish the point at which the systems reach equilibrium, the C</w:t>
      </w:r>
      <w:r w:rsidR="00B77384">
        <w:rPr>
          <w:rFonts w:cstheme="minorHAnsi"/>
        </w:rPr>
        <w:t>α</w:t>
      </w:r>
      <w:r>
        <w:t xml:space="preserve"> RMSD</w:t>
      </w:r>
      <w:r w:rsidR="00E04FA4">
        <w:t xml:space="preserve"> for each subunit and for the whole protein</w:t>
      </w:r>
      <w:r>
        <w:t xml:space="preserve"> was initially calculated (Figure</w:t>
      </w:r>
      <w:r w:rsidR="00FD0133">
        <w:t>s</w:t>
      </w:r>
      <w:r>
        <w:t xml:space="preserve"> </w:t>
      </w:r>
      <w:r w:rsidR="00FD0133">
        <w:t>1 and 2</w:t>
      </w:r>
      <w:r>
        <w:t xml:space="preserve">). </w:t>
      </w:r>
      <w:r w:rsidR="00395560">
        <w:t xml:space="preserve">Moreover, the cosine content of the first three PCs for all the under study systems was calculated [Hess2002]. High cosine content indicates random diffusion, or in other words unidirectional motion from one region in conformational space to another, which indicates that the simulation is not converged. Taking into account both the RMSD and the cosine content of the first three PCs for the different systems we concluded that the equilibration times for the WT human, WT murine, and H1047R human in the presence of PIK-108 are 64ns, 50ns, and 130ns, respectively. For both the systems with the LY294002, WT and H1047R human, the equilibration time was 50ns. </w:t>
      </w:r>
    </w:p>
    <w:p w:rsidR="00AF383F" w:rsidRDefault="001F1B22" w:rsidP="00D76E3A">
      <w:pPr>
        <w:jc w:val="center"/>
      </w:pPr>
      <w:r>
        <w:rPr>
          <w:noProof/>
        </w:rPr>
        <w:lastRenderedPageBreak/>
        <w:drawing>
          <wp:inline distT="0" distB="0" distL="0" distR="0">
            <wp:extent cx="5829300" cy="4792801"/>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5804" cy="4798149"/>
                    </a:xfrm>
                    <a:prstGeom prst="rect">
                      <a:avLst/>
                    </a:prstGeom>
                    <a:noFill/>
                    <a:ln>
                      <a:noFill/>
                    </a:ln>
                  </pic:spPr>
                </pic:pic>
              </a:graphicData>
            </a:graphic>
          </wp:inline>
        </w:drawing>
      </w:r>
    </w:p>
    <w:p w:rsidR="00203F90" w:rsidRDefault="00FD0133" w:rsidP="001F1B22">
      <w:pPr>
        <w:spacing w:after="0"/>
        <w:jc w:val="both"/>
      </w:pPr>
      <w:proofErr w:type="gramStart"/>
      <w:r w:rsidRPr="001F1B22">
        <w:rPr>
          <w:b/>
        </w:rPr>
        <w:t>Figure 1</w:t>
      </w:r>
      <w:r w:rsidR="001F1B22">
        <w:t>.</w:t>
      </w:r>
      <w:proofErr w:type="gramEnd"/>
      <w:r>
        <w:t xml:space="preserve"> </w:t>
      </w:r>
      <w:proofErr w:type="gramStart"/>
      <w:r w:rsidR="001F1B22">
        <w:t>RMSD of the Cα carbons of p110α</w:t>
      </w:r>
      <w:r w:rsidR="00AB180D">
        <w:t xml:space="preserve"> in the presence of PIK-108</w:t>
      </w:r>
      <w:r w:rsidR="001F1B22">
        <w:t>.</w:t>
      </w:r>
      <w:proofErr w:type="gramEnd"/>
      <w:r w:rsidR="001F1B22">
        <w:t xml:space="preserve"> </w:t>
      </w:r>
      <w:proofErr w:type="gramStart"/>
      <w:r w:rsidR="001F1B22">
        <w:t>(A) WT human, (B) WT murine, and (C) H1047R human p110α.</w:t>
      </w:r>
      <w:proofErr w:type="gramEnd"/>
      <w:r w:rsidR="001F1B22">
        <w:t xml:space="preserve"> The highly flexible loop residues 1-7, 231-240, 291-330, 410-417, 505-530, 863-872, 941-952, 1047-1068 have been excluded from the calculation. </w:t>
      </w:r>
    </w:p>
    <w:p w:rsidR="00EB521E" w:rsidRDefault="00EB521E" w:rsidP="001F1B22">
      <w:pPr>
        <w:spacing w:after="0"/>
        <w:jc w:val="both"/>
      </w:pPr>
    </w:p>
    <w:p w:rsidR="00203F90" w:rsidRDefault="00AB180D" w:rsidP="00203F90">
      <w:pPr>
        <w:jc w:val="center"/>
      </w:pPr>
      <w:r>
        <w:rPr>
          <w:noProof/>
        </w:rPr>
        <w:drawing>
          <wp:inline distT="0" distB="0" distL="0" distR="0">
            <wp:extent cx="5943600" cy="238074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380743"/>
                    </a:xfrm>
                    <a:prstGeom prst="rect">
                      <a:avLst/>
                    </a:prstGeom>
                    <a:noFill/>
                    <a:ln>
                      <a:noFill/>
                    </a:ln>
                  </pic:spPr>
                </pic:pic>
              </a:graphicData>
            </a:graphic>
          </wp:inline>
        </w:drawing>
      </w:r>
    </w:p>
    <w:p w:rsidR="00AB180D" w:rsidRDefault="0034003E" w:rsidP="00AB180D">
      <w:pPr>
        <w:spacing w:after="0"/>
        <w:jc w:val="both"/>
      </w:pPr>
      <w:proofErr w:type="gramStart"/>
      <w:r>
        <w:rPr>
          <w:b/>
        </w:rPr>
        <w:lastRenderedPageBreak/>
        <w:t>Figure 2</w:t>
      </w:r>
      <w:r w:rsidR="00AB180D">
        <w:t>.</w:t>
      </w:r>
      <w:proofErr w:type="gramEnd"/>
      <w:r w:rsidR="00AB180D">
        <w:t xml:space="preserve"> </w:t>
      </w:r>
      <w:proofErr w:type="gramStart"/>
      <w:r w:rsidR="00AB180D">
        <w:t>RMSD of the Cα carbons of p110α in the presence of LY294002.</w:t>
      </w:r>
      <w:proofErr w:type="gramEnd"/>
      <w:r w:rsidR="00AB180D">
        <w:t xml:space="preserve"> </w:t>
      </w:r>
      <w:proofErr w:type="gramStart"/>
      <w:r w:rsidR="00AB180D">
        <w:t>(A) WT human and (B) H1047R human p110α.</w:t>
      </w:r>
      <w:proofErr w:type="gramEnd"/>
      <w:r w:rsidR="00AB180D">
        <w:t xml:space="preserve"> The highly flexible loop residues 1-7, 231-240, 291-330, 410-417, 505-530, 863-872, 941-952, 1047-1068 have been excluded from the calculation. </w:t>
      </w:r>
    </w:p>
    <w:p w:rsidR="00C03598" w:rsidRDefault="00C03598" w:rsidP="00B77384">
      <w:pPr>
        <w:jc w:val="both"/>
      </w:pPr>
    </w:p>
    <w:p w:rsidR="00C03598" w:rsidRPr="00384388" w:rsidRDefault="00203F90" w:rsidP="00B77384">
      <w:pPr>
        <w:jc w:val="both"/>
        <w:rPr>
          <w:u w:val="single"/>
        </w:rPr>
      </w:pPr>
      <w:r w:rsidRPr="00203F90">
        <w:rPr>
          <w:u w:val="single"/>
        </w:rPr>
        <w:t xml:space="preserve">C.2. </w:t>
      </w:r>
      <w:proofErr w:type="gramStart"/>
      <w:r w:rsidRPr="00203F90">
        <w:rPr>
          <w:u w:val="single"/>
        </w:rPr>
        <w:t>The</w:t>
      </w:r>
      <w:proofErr w:type="gramEnd"/>
      <w:r w:rsidRPr="00203F90">
        <w:rPr>
          <w:u w:val="single"/>
        </w:rPr>
        <w:t xml:space="preserve"> effect of PIK-108 binding</w:t>
      </w:r>
    </w:p>
    <w:p w:rsidR="00C03598" w:rsidRPr="00384388" w:rsidRDefault="002D2E2D" w:rsidP="00C03598">
      <w:pPr>
        <w:rPr>
          <w:u w:val="single"/>
        </w:rPr>
      </w:pPr>
      <w:r>
        <w:rPr>
          <w:u w:val="single"/>
        </w:rPr>
        <w:t>C.2.1</w:t>
      </w:r>
      <w:r w:rsidR="00384388" w:rsidRPr="00384388">
        <w:rPr>
          <w:u w:val="single"/>
        </w:rPr>
        <w:t xml:space="preserve"> </w:t>
      </w:r>
      <w:r w:rsidR="00C03598" w:rsidRPr="00384388">
        <w:rPr>
          <w:u w:val="single"/>
        </w:rPr>
        <w:t>Protein-Ligand interaction</w:t>
      </w:r>
      <w:r w:rsidR="00675CF3" w:rsidRPr="00384388">
        <w:rPr>
          <w:u w:val="single"/>
        </w:rPr>
        <w:t>s in the non-ATP binding pocket</w:t>
      </w:r>
    </w:p>
    <w:p w:rsidR="00C60F2C" w:rsidRDefault="00C60F2C" w:rsidP="000115CA">
      <w:pPr>
        <w:jc w:val="both"/>
      </w:pPr>
      <w:r>
        <w:t>PIK-108 interacts with 14 residues of the allosteric-site gorge from Cys901 at the bottom to Ala1046 at the top. Five of these residues are aromatic and some of them are involved in complementary surface contacts with the ligand (Phe</w:t>
      </w:r>
      <w:r w:rsidR="006D54D6">
        <w:t>9</w:t>
      </w:r>
      <w:r w:rsidR="0084493E">
        <w:t>09</w:t>
      </w:r>
      <w:r>
        <w:t xml:space="preserve">, Phe977, and Phe980) as well as stacking interactions (Phe954 and Phe960). In the case of the mutant, infrequent hydrogen bonds are formed between the ligand and Val955 and Asn1044 (Table 1). Interaction of PIK-108 with Arg1047 </w:t>
      </w:r>
      <w:r w:rsidR="0084493E">
        <w:t>is</w:t>
      </w:r>
      <w:r>
        <w:t xml:space="preserve"> limited in the range of -0.56</w:t>
      </w:r>
      <w:r>
        <w:rPr>
          <w:rFonts w:cstheme="minorHAnsi"/>
        </w:rPr>
        <w:t>±</w:t>
      </w:r>
      <w:r>
        <w:t>0.05 kcal/mol. Instead, Arg1047 forms a salt-bridge with the Asp1045 which keeps Arg1047 away from the allosteric pocket.</w:t>
      </w:r>
      <w:r w:rsidR="0084493E">
        <w:t xml:space="preserve"> </w:t>
      </w:r>
    </w:p>
    <w:p w:rsidR="00C03598" w:rsidRDefault="00C03598" w:rsidP="000115CA">
      <w:pPr>
        <w:jc w:val="both"/>
      </w:pPr>
      <w:r>
        <w:t>The key interactions of PIK-108 with Cys901, Cys905, Phe954, Phe960, Gln981, Met1043, and Trp1051 were identified in the murine WT protein in agreement</w:t>
      </w:r>
      <w:r w:rsidR="00675CF3">
        <w:t xml:space="preserve"> </w:t>
      </w:r>
      <w:r>
        <w:t>with Hon et al.</w:t>
      </w:r>
      <w:r w:rsidR="00D76E3A">
        <w:t xml:space="preserve"> [Hon2012].</w:t>
      </w:r>
      <w:r>
        <w:t xml:space="preserve"> Interestingly, t</w:t>
      </w:r>
      <w:r w:rsidR="0084493E">
        <w:t xml:space="preserve">he interaction with </w:t>
      </w:r>
      <w:r>
        <w:t>Trp1051 w</w:t>
      </w:r>
      <w:r w:rsidR="0084493E">
        <w:t>as</w:t>
      </w:r>
      <w:r>
        <w:t xml:space="preserve"> completely </w:t>
      </w:r>
      <w:r w:rsidR="0084493E">
        <w:t>absent in the H1047R simulation</w:t>
      </w:r>
      <w:r>
        <w:t>. Moreover, in the human WT a</w:t>
      </w:r>
      <w:r w:rsidR="00675CF3">
        <w:t xml:space="preserve"> </w:t>
      </w:r>
      <w:r>
        <w:t xml:space="preserve">particularly strong VDW interaction of PIK-108 with </w:t>
      </w:r>
      <w:r w:rsidR="0084493E">
        <w:t>His1047</w:t>
      </w:r>
      <w:r>
        <w:t xml:space="preserve"> (-</w:t>
      </w:r>
      <w:r w:rsidR="0084493E">
        <w:t>5.70</w:t>
      </w:r>
      <w:r>
        <w:t>+/-0.</w:t>
      </w:r>
      <w:r w:rsidR="0084493E">
        <w:t>21</w:t>
      </w:r>
      <w:r>
        <w:t xml:space="preserve"> kcal/mol) was apparent whereas this interaction was significantly smaller </w:t>
      </w:r>
      <w:r w:rsidR="0084493E">
        <w:t>in the case of the mutant</w:t>
      </w:r>
      <w:r>
        <w:t xml:space="preserve"> (-4.5 kcal/mol)</w:t>
      </w:r>
      <w:r w:rsidR="0084493E">
        <w:t xml:space="preserve"> while it was completely absent in the WT murine simulations</w:t>
      </w:r>
      <w:r>
        <w:t>.</w:t>
      </w:r>
    </w:p>
    <w:p w:rsidR="006E0C94" w:rsidRDefault="006E0C94" w:rsidP="000115CA">
      <w:pPr>
        <w:jc w:val="both"/>
      </w:pPr>
    </w:p>
    <w:p w:rsidR="006E0C94" w:rsidRDefault="006E0C94" w:rsidP="000115CA">
      <w:pPr>
        <w:jc w:val="both"/>
      </w:pPr>
    </w:p>
    <w:p w:rsidR="006E0C94" w:rsidRDefault="006E0C94" w:rsidP="000115CA">
      <w:pPr>
        <w:jc w:val="both"/>
      </w:pPr>
    </w:p>
    <w:p w:rsidR="006E0C94" w:rsidRDefault="006E0C94" w:rsidP="000115CA">
      <w:pPr>
        <w:jc w:val="both"/>
      </w:pPr>
    </w:p>
    <w:p w:rsidR="00250CC8" w:rsidRDefault="006E0C94" w:rsidP="000115CA">
      <w:pPr>
        <w:jc w:val="both"/>
      </w:pPr>
      <w:r>
        <w:rPr>
          <w:noProof/>
        </w:rPr>
        <w:lastRenderedPageBreak/>
        <w:drawing>
          <wp:inline distT="0" distB="0" distL="0" distR="0">
            <wp:extent cx="6162674" cy="2734020"/>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6180" cy="2735576"/>
                    </a:xfrm>
                    <a:prstGeom prst="rect">
                      <a:avLst/>
                    </a:prstGeom>
                    <a:noFill/>
                  </pic:spPr>
                </pic:pic>
              </a:graphicData>
            </a:graphic>
          </wp:inline>
        </w:drawing>
      </w:r>
    </w:p>
    <w:p w:rsidR="00250CC8" w:rsidRDefault="00250CC8" w:rsidP="006E0C94">
      <w:pPr>
        <w:jc w:val="both"/>
      </w:pPr>
      <w:proofErr w:type="gramStart"/>
      <w:r w:rsidRPr="0010274A">
        <w:rPr>
          <w:b/>
        </w:rPr>
        <w:t xml:space="preserve">Figure </w:t>
      </w:r>
      <w:r w:rsidR="00C60F2C">
        <w:rPr>
          <w:b/>
        </w:rPr>
        <w:t>3</w:t>
      </w:r>
      <w:r>
        <w:t>.</w:t>
      </w:r>
      <w:proofErr w:type="gramEnd"/>
      <w:r>
        <w:t xml:space="preserve"> Average PIK-108-residue VDW interaction energy in the allosteric pocket. Significant differences between the binding modes in the different proteins can be observed.</w:t>
      </w:r>
    </w:p>
    <w:p w:rsidR="00250CC8" w:rsidRDefault="00250CC8" w:rsidP="000115CA">
      <w:pPr>
        <w:jc w:val="both"/>
      </w:pPr>
    </w:p>
    <w:p w:rsidR="007A5E41" w:rsidRDefault="006E0C94" w:rsidP="000115CA">
      <w:pPr>
        <w:jc w:val="both"/>
      </w:pPr>
      <w:r>
        <w:rPr>
          <w:noProof/>
        </w:rPr>
        <w:drawing>
          <wp:inline distT="0" distB="0" distL="0" distR="0">
            <wp:extent cx="6200776" cy="275092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9113" cy="2754623"/>
                    </a:xfrm>
                    <a:prstGeom prst="rect">
                      <a:avLst/>
                    </a:prstGeom>
                    <a:noFill/>
                  </pic:spPr>
                </pic:pic>
              </a:graphicData>
            </a:graphic>
          </wp:inline>
        </w:drawing>
      </w:r>
    </w:p>
    <w:p w:rsidR="007A5E41" w:rsidRDefault="00E03D33" w:rsidP="006E0C94">
      <w:pPr>
        <w:jc w:val="both"/>
      </w:pPr>
      <w:proofErr w:type="gramStart"/>
      <w:r w:rsidRPr="0010274A">
        <w:rPr>
          <w:b/>
        </w:rPr>
        <w:t xml:space="preserve">Figure </w:t>
      </w:r>
      <w:r w:rsidR="00C60F2C">
        <w:rPr>
          <w:b/>
        </w:rPr>
        <w:t>4</w:t>
      </w:r>
      <w:r>
        <w:t>.</w:t>
      </w:r>
      <w:proofErr w:type="gramEnd"/>
      <w:r>
        <w:t xml:space="preserve"> </w:t>
      </w:r>
      <w:proofErr w:type="gramStart"/>
      <w:r>
        <w:t xml:space="preserve">Average </w:t>
      </w:r>
      <w:r w:rsidR="00250CC8">
        <w:t>PIK-108</w:t>
      </w:r>
      <w:r>
        <w:t>-residue Coulombic interaction energy in the allosteric pocket.</w:t>
      </w:r>
      <w:proofErr w:type="gramEnd"/>
      <w:r>
        <w:t xml:space="preserve"> Significant differences between the binding modes in the different proteins can be observed.</w:t>
      </w:r>
    </w:p>
    <w:p w:rsidR="006E0C94" w:rsidRDefault="006E0C94" w:rsidP="006D6BD6"/>
    <w:p w:rsidR="006E0C94" w:rsidRDefault="006E0C94" w:rsidP="006D6BD6"/>
    <w:p w:rsidR="006E0C94" w:rsidRDefault="006E0C94" w:rsidP="006D6BD6"/>
    <w:p w:rsidR="006E0C94" w:rsidRDefault="006E0C94" w:rsidP="006E0C94">
      <w:pPr>
        <w:jc w:val="center"/>
      </w:pPr>
      <w:proofErr w:type="gramStart"/>
      <w:r>
        <w:rPr>
          <w:b/>
        </w:rPr>
        <w:lastRenderedPageBreak/>
        <w:t>Table 1</w:t>
      </w:r>
      <w:r w:rsidRPr="0075411E">
        <w:rPr>
          <w:b/>
        </w:rPr>
        <w:t>.</w:t>
      </w:r>
      <w:proofErr w:type="gramEnd"/>
      <w:r>
        <w:t xml:space="preserve"> </w:t>
      </w:r>
      <w:proofErr w:type="gramStart"/>
      <w:r>
        <w:t>Other important VDW interaction energies.</w:t>
      </w:r>
      <w:proofErr w:type="gramEnd"/>
    </w:p>
    <w:p w:rsidR="006E0C94" w:rsidRDefault="006E0C94" w:rsidP="006E0C94">
      <w:pPr>
        <w:jc w:val="center"/>
      </w:pPr>
      <w:r w:rsidRPr="006D54D6">
        <w:rPr>
          <w:noProof/>
        </w:rPr>
        <w:drawing>
          <wp:inline distT="0" distB="0" distL="0" distR="0">
            <wp:extent cx="4229100" cy="1724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1724025"/>
                    </a:xfrm>
                    <a:prstGeom prst="rect">
                      <a:avLst/>
                    </a:prstGeom>
                    <a:noFill/>
                    <a:ln>
                      <a:noFill/>
                    </a:ln>
                  </pic:spPr>
                </pic:pic>
              </a:graphicData>
            </a:graphic>
          </wp:inline>
        </w:drawing>
      </w:r>
    </w:p>
    <w:p w:rsidR="00C60F2C" w:rsidRDefault="00C60F2C" w:rsidP="006D6BD6"/>
    <w:p w:rsidR="00C60F2C" w:rsidRDefault="006E0C94" w:rsidP="00C60F2C">
      <w:pPr>
        <w:jc w:val="center"/>
      </w:pPr>
      <w:proofErr w:type="gramStart"/>
      <w:r>
        <w:rPr>
          <w:b/>
        </w:rPr>
        <w:t>Table 2</w:t>
      </w:r>
      <w:r w:rsidR="00C60F2C" w:rsidRPr="00056A6F">
        <w:rPr>
          <w:b/>
        </w:rPr>
        <w:t>.</w:t>
      </w:r>
      <w:proofErr w:type="gramEnd"/>
      <w:r w:rsidR="00C60F2C">
        <w:t xml:space="preserve"> </w:t>
      </w:r>
      <w:proofErr w:type="gramStart"/>
      <w:r w:rsidR="00C60F2C">
        <w:t>Hydrogen bond occupancy for the different systems.</w:t>
      </w:r>
      <w:proofErr w:type="gramEnd"/>
    </w:p>
    <w:tbl>
      <w:tblPr>
        <w:tblStyle w:val="TableGrid"/>
        <w:tblW w:w="0" w:type="auto"/>
        <w:jc w:val="center"/>
        <w:tblLook w:val="04A0"/>
      </w:tblPr>
      <w:tblGrid>
        <w:gridCol w:w="991"/>
        <w:gridCol w:w="1226"/>
        <w:gridCol w:w="1545"/>
        <w:gridCol w:w="1501"/>
      </w:tblGrid>
      <w:tr w:rsidR="007A5E41" w:rsidTr="00897C9A">
        <w:trPr>
          <w:jc w:val="center"/>
        </w:trPr>
        <w:tc>
          <w:tcPr>
            <w:tcW w:w="991" w:type="dxa"/>
          </w:tcPr>
          <w:p w:rsidR="007A5E41" w:rsidRPr="007F2FD5" w:rsidRDefault="007A5E41" w:rsidP="007A5E41">
            <w:pPr>
              <w:jc w:val="center"/>
              <w:rPr>
                <w:b/>
              </w:rPr>
            </w:pPr>
          </w:p>
        </w:tc>
        <w:tc>
          <w:tcPr>
            <w:tcW w:w="4272" w:type="dxa"/>
            <w:gridSpan w:val="3"/>
          </w:tcPr>
          <w:p w:rsidR="007A5E41" w:rsidRDefault="007A5E41" w:rsidP="007A5E41">
            <w:pPr>
              <w:jc w:val="center"/>
              <w:rPr>
                <w:b/>
              </w:rPr>
            </w:pPr>
            <w:r>
              <w:rPr>
                <w:b/>
              </w:rPr>
              <w:t>Hydrogen bond % occupancy</w:t>
            </w:r>
          </w:p>
        </w:tc>
      </w:tr>
      <w:tr w:rsidR="007A5E41" w:rsidTr="00897C9A">
        <w:trPr>
          <w:jc w:val="center"/>
        </w:trPr>
        <w:tc>
          <w:tcPr>
            <w:tcW w:w="991" w:type="dxa"/>
          </w:tcPr>
          <w:p w:rsidR="007A5E41" w:rsidRPr="007F2FD5" w:rsidRDefault="007A5E41" w:rsidP="007A5E41">
            <w:pPr>
              <w:jc w:val="center"/>
              <w:rPr>
                <w:b/>
              </w:rPr>
            </w:pPr>
            <w:r w:rsidRPr="007F2FD5">
              <w:rPr>
                <w:b/>
              </w:rPr>
              <w:t>residue</w:t>
            </w:r>
          </w:p>
        </w:tc>
        <w:tc>
          <w:tcPr>
            <w:tcW w:w="1226" w:type="dxa"/>
          </w:tcPr>
          <w:p w:rsidR="007A5E41" w:rsidRPr="007F2FD5" w:rsidRDefault="007A5E41" w:rsidP="007A5E41">
            <w:pPr>
              <w:jc w:val="center"/>
              <w:rPr>
                <w:b/>
              </w:rPr>
            </w:pPr>
            <w:r w:rsidRPr="007F2FD5">
              <w:rPr>
                <w:b/>
              </w:rPr>
              <w:t>WT human</w:t>
            </w:r>
          </w:p>
        </w:tc>
        <w:tc>
          <w:tcPr>
            <w:tcW w:w="1545" w:type="dxa"/>
          </w:tcPr>
          <w:p w:rsidR="007A5E41" w:rsidRPr="007F2FD5" w:rsidRDefault="007A5E41" w:rsidP="007A5E41">
            <w:pPr>
              <w:jc w:val="center"/>
              <w:rPr>
                <w:b/>
              </w:rPr>
            </w:pPr>
            <w:r w:rsidRPr="007F2FD5">
              <w:rPr>
                <w:b/>
              </w:rPr>
              <w:t>WT mutant</w:t>
            </w:r>
          </w:p>
        </w:tc>
        <w:tc>
          <w:tcPr>
            <w:tcW w:w="1501" w:type="dxa"/>
          </w:tcPr>
          <w:p w:rsidR="007A5E41" w:rsidRPr="007F2FD5" w:rsidRDefault="007A5E41" w:rsidP="007A5E41">
            <w:pPr>
              <w:jc w:val="center"/>
              <w:rPr>
                <w:b/>
              </w:rPr>
            </w:pPr>
            <w:r>
              <w:rPr>
                <w:b/>
              </w:rPr>
              <w:t>WT murine</w:t>
            </w:r>
          </w:p>
        </w:tc>
      </w:tr>
      <w:tr w:rsidR="007A5E41" w:rsidTr="00897C9A">
        <w:trPr>
          <w:jc w:val="center"/>
        </w:trPr>
        <w:tc>
          <w:tcPr>
            <w:tcW w:w="5263" w:type="dxa"/>
            <w:gridSpan w:val="4"/>
          </w:tcPr>
          <w:p w:rsidR="007A5E41" w:rsidRPr="007F2FD5" w:rsidRDefault="007A5E41" w:rsidP="007A5E41">
            <w:pPr>
              <w:rPr>
                <w:b/>
              </w:rPr>
            </w:pPr>
            <w:r w:rsidRPr="007F2FD5">
              <w:rPr>
                <w:b/>
              </w:rPr>
              <w:t>Catalytic pocket</w:t>
            </w:r>
          </w:p>
        </w:tc>
      </w:tr>
      <w:tr w:rsidR="007A5E41" w:rsidTr="00897C9A">
        <w:trPr>
          <w:jc w:val="center"/>
        </w:trPr>
        <w:tc>
          <w:tcPr>
            <w:tcW w:w="991" w:type="dxa"/>
          </w:tcPr>
          <w:p w:rsidR="007A5E41" w:rsidRDefault="007A5E41" w:rsidP="007A5E41">
            <w:pPr>
              <w:jc w:val="center"/>
            </w:pPr>
            <w:r>
              <w:t>Val851</w:t>
            </w:r>
          </w:p>
        </w:tc>
        <w:tc>
          <w:tcPr>
            <w:tcW w:w="1226" w:type="dxa"/>
          </w:tcPr>
          <w:p w:rsidR="007A5E41" w:rsidRDefault="007A5E41" w:rsidP="007A5E41">
            <w:pPr>
              <w:jc w:val="center"/>
            </w:pPr>
            <w:r>
              <w:t>98.33</w:t>
            </w:r>
          </w:p>
        </w:tc>
        <w:tc>
          <w:tcPr>
            <w:tcW w:w="1545" w:type="dxa"/>
          </w:tcPr>
          <w:p w:rsidR="007A5E41" w:rsidRDefault="007A5E41" w:rsidP="007A5E41">
            <w:pPr>
              <w:jc w:val="center"/>
            </w:pPr>
            <w:r>
              <w:t>91.97</w:t>
            </w:r>
          </w:p>
        </w:tc>
        <w:tc>
          <w:tcPr>
            <w:tcW w:w="1501" w:type="dxa"/>
          </w:tcPr>
          <w:p w:rsidR="007A5E41" w:rsidRDefault="007A5E41" w:rsidP="007A5E41">
            <w:pPr>
              <w:jc w:val="center"/>
            </w:pPr>
            <w:r>
              <w:t>93.00</w:t>
            </w:r>
          </w:p>
        </w:tc>
      </w:tr>
      <w:tr w:rsidR="007A5E41" w:rsidTr="00897C9A">
        <w:trPr>
          <w:jc w:val="center"/>
        </w:trPr>
        <w:tc>
          <w:tcPr>
            <w:tcW w:w="991" w:type="dxa"/>
          </w:tcPr>
          <w:p w:rsidR="007A5E41" w:rsidRDefault="007A5E41" w:rsidP="007A5E41">
            <w:pPr>
              <w:jc w:val="center"/>
            </w:pPr>
            <w:r>
              <w:t>Asp933</w:t>
            </w:r>
          </w:p>
        </w:tc>
        <w:tc>
          <w:tcPr>
            <w:tcW w:w="1226" w:type="dxa"/>
          </w:tcPr>
          <w:p w:rsidR="007A5E41" w:rsidRDefault="007A5E41" w:rsidP="007A5E41">
            <w:pPr>
              <w:jc w:val="center"/>
            </w:pPr>
            <w:r>
              <w:t>53.68</w:t>
            </w:r>
          </w:p>
        </w:tc>
        <w:tc>
          <w:tcPr>
            <w:tcW w:w="1545" w:type="dxa"/>
          </w:tcPr>
          <w:p w:rsidR="007A5E41" w:rsidRDefault="007A5E41" w:rsidP="007A5E41">
            <w:pPr>
              <w:jc w:val="center"/>
            </w:pPr>
            <w:r>
              <w:t>0.12</w:t>
            </w:r>
          </w:p>
        </w:tc>
        <w:tc>
          <w:tcPr>
            <w:tcW w:w="1501" w:type="dxa"/>
          </w:tcPr>
          <w:p w:rsidR="007A5E41" w:rsidRDefault="007A5E41" w:rsidP="007A5E41">
            <w:pPr>
              <w:jc w:val="center"/>
            </w:pPr>
            <w:r>
              <w:t>0.76</w:t>
            </w:r>
          </w:p>
        </w:tc>
      </w:tr>
      <w:tr w:rsidR="007A5E41" w:rsidTr="00897C9A">
        <w:trPr>
          <w:jc w:val="center"/>
        </w:trPr>
        <w:tc>
          <w:tcPr>
            <w:tcW w:w="991" w:type="dxa"/>
          </w:tcPr>
          <w:p w:rsidR="007A5E41" w:rsidRDefault="007A5E41" w:rsidP="007A5E41">
            <w:pPr>
              <w:jc w:val="center"/>
            </w:pPr>
            <w:r>
              <w:t>Leu1067</w:t>
            </w:r>
          </w:p>
        </w:tc>
        <w:tc>
          <w:tcPr>
            <w:tcW w:w="1226" w:type="dxa"/>
          </w:tcPr>
          <w:p w:rsidR="007A5E41" w:rsidRDefault="007A5E41" w:rsidP="007A5E41">
            <w:pPr>
              <w:jc w:val="center"/>
            </w:pPr>
            <w:r>
              <w:t>28.77</w:t>
            </w:r>
          </w:p>
        </w:tc>
        <w:tc>
          <w:tcPr>
            <w:tcW w:w="1545" w:type="dxa"/>
          </w:tcPr>
          <w:p w:rsidR="007A5E41" w:rsidRDefault="007A5E41" w:rsidP="007A5E41">
            <w:pPr>
              <w:jc w:val="center"/>
            </w:pPr>
            <w:r>
              <w:t>-</w:t>
            </w:r>
          </w:p>
        </w:tc>
        <w:tc>
          <w:tcPr>
            <w:tcW w:w="1501" w:type="dxa"/>
          </w:tcPr>
          <w:p w:rsidR="007A5E41" w:rsidRDefault="007A5E41" w:rsidP="007A5E41">
            <w:pPr>
              <w:jc w:val="center"/>
            </w:pPr>
            <w:r>
              <w:t>-</w:t>
            </w:r>
          </w:p>
        </w:tc>
      </w:tr>
      <w:tr w:rsidR="007A5E41" w:rsidTr="00897C9A">
        <w:trPr>
          <w:jc w:val="center"/>
        </w:trPr>
        <w:tc>
          <w:tcPr>
            <w:tcW w:w="991" w:type="dxa"/>
          </w:tcPr>
          <w:p w:rsidR="007A5E41" w:rsidRDefault="007A5E41" w:rsidP="007A5E41">
            <w:pPr>
              <w:jc w:val="center"/>
            </w:pPr>
            <w:r>
              <w:t>Gln859</w:t>
            </w:r>
          </w:p>
        </w:tc>
        <w:tc>
          <w:tcPr>
            <w:tcW w:w="1226" w:type="dxa"/>
          </w:tcPr>
          <w:p w:rsidR="007A5E41" w:rsidRDefault="007A5E41" w:rsidP="007A5E41">
            <w:pPr>
              <w:jc w:val="center"/>
            </w:pPr>
            <w:r>
              <w:t>-</w:t>
            </w:r>
          </w:p>
        </w:tc>
        <w:tc>
          <w:tcPr>
            <w:tcW w:w="1545" w:type="dxa"/>
          </w:tcPr>
          <w:p w:rsidR="007A5E41" w:rsidRDefault="007A5E41" w:rsidP="007A5E41">
            <w:pPr>
              <w:jc w:val="center"/>
            </w:pPr>
            <w:r>
              <w:t>27.03</w:t>
            </w:r>
          </w:p>
        </w:tc>
        <w:tc>
          <w:tcPr>
            <w:tcW w:w="1501" w:type="dxa"/>
          </w:tcPr>
          <w:p w:rsidR="007A5E41" w:rsidRDefault="007A5E41" w:rsidP="007A5E41">
            <w:pPr>
              <w:jc w:val="center"/>
            </w:pPr>
            <w:r>
              <w:t>-</w:t>
            </w:r>
          </w:p>
        </w:tc>
      </w:tr>
      <w:tr w:rsidR="007A5E41" w:rsidTr="00897C9A">
        <w:trPr>
          <w:jc w:val="center"/>
        </w:trPr>
        <w:tc>
          <w:tcPr>
            <w:tcW w:w="5263" w:type="dxa"/>
            <w:gridSpan w:val="4"/>
          </w:tcPr>
          <w:p w:rsidR="007A5E41" w:rsidRPr="007F2FD5" w:rsidRDefault="007A5E41" w:rsidP="007A5E41">
            <w:pPr>
              <w:rPr>
                <w:b/>
              </w:rPr>
            </w:pPr>
            <w:r w:rsidRPr="007F2FD5">
              <w:rPr>
                <w:b/>
              </w:rPr>
              <w:t>Allosteric pocket</w:t>
            </w:r>
          </w:p>
        </w:tc>
      </w:tr>
      <w:tr w:rsidR="007A5E41" w:rsidTr="00897C9A">
        <w:trPr>
          <w:jc w:val="center"/>
        </w:trPr>
        <w:tc>
          <w:tcPr>
            <w:tcW w:w="991" w:type="dxa"/>
          </w:tcPr>
          <w:p w:rsidR="007A5E41" w:rsidRDefault="007A5E41" w:rsidP="007A5E41">
            <w:pPr>
              <w:jc w:val="center"/>
            </w:pPr>
            <w:r>
              <w:t>Leu956</w:t>
            </w:r>
          </w:p>
        </w:tc>
        <w:tc>
          <w:tcPr>
            <w:tcW w:w="1226" w:type="dxa"/>
          </w:tcPr>
          <w:p w:rsidR="007A5E41" w:rsidRDefault="00897C9A" w:rsidP="007A5E41">
            <w:pPr>
              <w:jc w:val="center"/>
            </w:pPr>
            <w:r>
              <w:t>89.55</w:t>
            </w:r>
          </w:p>
        </w:tc>
        <w:tc>
          <w:tcPr>
            <w:tcW w:w="1545" w:type="dxa"/>
          </w:tcPr>
          <w:p w:rsidR="007A5E41" w:rsidRDefault="00897C9A" w:rsidP="007A5E41">
            <w:pPr>
              <w:jc w:val="center"/>
            </w:pPr>
            <w:r>
              <w:t>-</w:t>
            </w:r>
          </w:p>
        </w:tc>
        <w:tc>
          <w:tcPr>
            <w:tcW w:w="1501" w:type="dxa"/>
          </w:tcPr>
          <w:p w:rsidR="007A5E41" w:rsidRDefault="00897C9A" w:rsidP="007A5E41">
            <w:pPr>
              <w:jc w:val="center"/>
            </w:pPr>
            <w:r>
              <w:t>-</w:t>
            </w:r>
          </w:p>
        </w:tc>
      </w:tr>
      <w:tr w:rsidR="00897C9A" w:rsidTr="00897C9A">
        <w:trPr>
          <w:jc w:val="center"/>
        </w:trPr>
        <w:tc>
          <w:tcPr>
            <w:tcW w:w="991" w:type="dxa"/>
          </w:tcPr>
          <w:p w:rsidR="00897C9A" w:rsidRDefault="00897C9A" w:rsidP="007A5E41">
            <w:pPr>
              <w:jc w:val="center"/>
            </w:pPr>
            <w:r>
              <w:t>Val955</w:t>
            </w:r>
          </w:p>
        </w:tc>
        <w:tc>
          <w:tcPr>
            <w:tcW w:w="1226" w:type="dxa"/>
          </w:tcPr>
          <w:p w:rsidR="00897C9A" w:rsidRDefault="00897C9A" w:rsidP="007A5E41">
            <w:pPr>
              <w:jc w:val="center"/>
            </w:pPr>
            <w:r>
              <w:t>-</w:t>
            </w:r>
          </w:p>
        </w:tc>
        <w:tc>
          <w:tcPr>
            <w:tcW w:w="1545" w:type="dxa"/>
          </w:tcPr>
          <w:p w:rsidR="00897C9A" w:rsidRDefault="00897C9A" w:rsidP="007A5E41">
            <w:pPr>
              <w:jc w:val="center"/>
            </w:pPr>
            <w:r>
              <w:t>5.22</w:t>
            </w:r>
          </w:p>
        </w:tc>
        <w:tc>
          <w:tcPr>
            <w:tcW w:w="1501" w:type="dxa"/>
          </w:tcPr>
          <w:p w:rsidR="00897C9A" w:rsidRDefault="00897C9A" w:rsidP="007A5E41">
            <w:pPr>
              <w:jc w:val="center"/>
            </w:pPr>
            <w:r>
              <w:t>-</w:t>
            </w:r>
          </w:p>
        </w:tc>
      </w:tr>
      <w:tr w:rsidR="007A5E41" w:rsidTr="00897C9A">
        <w:trPr>
          <w:jc w:val="center"/>
        </w:trPr>
        <w:tc>
          <w:tcPr>
            <w:tcW w:w="991" w:type="dxa"/>
          </w:tcPr>
          <w:p w:rsidR="007A5E41" w:rsidRDefault="007A5E41" w:rsidP="007A5E41">
            <w:pPr>
              <w:jc w:val="center"/>
            </w:pPr>
            <w:r>
              <w:t>Gln981</w:t>
            </w:r>
          </w:p>
        </w:tc>
        <w:tc>
          <w:tcPr>
            <w:tcW w:w="1226" w:type="dxa"/>
          </w:tcPr>
          <w:p w:rsidR="007A5E41" w:rsidRDefault="00897C9A" w:rsidP="007A5E41">
            <w:pPr>
              <w:jc w:val="center"/>
            </w:pPr>
            <w:r>
              <w:t>30.87</w:t>
            </w:r>
          </w:p>
        </w:tc>
        <w:tc>
          <w:tcPr>
            <w:tcW w:w="1545" w:type="dxa"/>
          </w:tcPr>
          <w:p w:rsidR="007A5E41" w:rsidRDefault="00897C9A" w:rsidP="007A5E41">
            <w:pPr>
              <w:jc w:val="center"/>
            </w:pPr>
            <w:r>
              <w:t>-</w:t>
            </w:r>
          </w:p>
        </w:tc>
        <w:tc>
          <w:tcPr>
            <w:tcW w:w="1501" w:type="dxa"/>
          </w:tcPr>
          <w:p w:rsidR="007A5E41" w:rsidRDefault="00897C9A" w:rsidP="007A5E41">
            <w:pPr>
              <w:jc w:val="center"/>
            </w:pPr>
            <w:r>
              <w:t>-</w:t>
            </w:r>
          </w:p>
        </w:tc>
      </w:tr>
      <w:tr w:rsidR="007A5E41" w:rsidTr="00897C9A">
        <w:trPr>
          <w:jc w:val="center"/>
        </w:trPr>
        <w:tc>
          <w:tcPr>
            <w:tcW w:w="991" w:type="dxa"/>
          </w:tcPr>
          <w:p w:rsidR="007A5E41" w:rsidRDefault="00897C9A" w:rsidP="007A5E41">
            <w:pPr>
              <w:jc w:val="center"/>
            </w:pPr>
            <w:r>
              <w:t>Asn1044</w:t>
            </w:r>
          </w:p>
        </w:tc>
        <w:tc>
          <w:tcPr>
            <w:tcW w:w="1226" w:type="dxa"/>
          </w:tcPr>
          <w:p w:rsidR="007A5E41" w:rsidRDefault="00897C9A" w:rsidP="007A5E41">
            <w:pPr>
              <w:jc w:val="center"/>
            </w:pPr>
            <w:r>
              <w:t>0.06</w:t>
            </w:r>
          </w:p>
        </w:tc>
        <w:tc>
          <w:tcPr>
            <w:tcW w:w="1545" w:type="dxa"/>
          </w:tcPr>
          <w:p w:rsidR="007A5E41" w:rsidRDefault="00897C9A" w:rsidP="007A5E41">
            <w:pPr>
              <w:jc w:val="center"/>
            </w:pPr>
            <w:r>
              <w:t>4.98</w:t>
            </w:r>
          </w:p>
        </w:tc>
        <w:tc>
          <w:tcPr>
            <w:tcW w:w="1501" w:type="dxa"/>
          </w:tcPr>
          <w:p w:rsidR="007A5E41" w:rsidRDefault="00897C9A" w:rsidP="007A5E41">
            <w:pPr>
              <w:jc w:val="center"/>
            </w:pPr>
            <w:r>
              <w:t>45.14</w:t>
            </w:r>
          </w:p>
        </w:tc>
      </w:tr>
    </w:tbl>
    <w:p w:rsidR="005F741F" w:rsidRDefault="005F741F" w:rsidP="000115CA">
      <w:pPr>
        <w:jc w:val="both"/>
      </w:pPr>
    </w:p>
    <w:p w:rsidR="005F741F" w:rsidRDefault="006D6BD6" w:rsidP="000115CA">
      <w:pPr>
        <w:jc w:val="both"/>
      </w:pPr>
      <w:r>
        <w:rPr>
          <w:noProof/>
        </w:rPr>
        <w:lastRenderedPageBreak/>
        <w:drawing>
          <wp:inline distT="0" distB="0" distL="0" distR="0">
            <wp:extent cx="5939624" cy="5891917"/>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895861"/>
                    </a:xfrm>
                    <a:prstGeom prst="rect">
                      <a:avLst/>
                    </a:prstGeom>
                    <a:noFill/>
                    <a:ln>
                      <a:noFill/>
                    </a:ln>
                  </pic:spPr>
                </pic:pic>
              </a:graphicData>
            </a:graphic>
          </wp:inline>
        </w:drawing>
      </w:r>
    </w:p>
    <w:p w:rsidR="00804587" w:rsidRPr="00544EDD" w:rsidRDefault="00804587" w:rsidP="00804587">
      <w:pPr>
        <w:jc w:val="both"/>
      </w:pPr>
      <w:proofErr w:type="gramStart"/>
      <w:r>
        <w:rPr>
          <w:b/>
        </w:rPr>
        <w:t xml:space="preserve">Figure </w:t>
      </w:r>
      <w:r w:rsidR="0016481F">
        <w:rPr>
          <w:b/>
        </w:rPr>
        <w:t>5</w:t>
      </w:r>
      <w:r>
        <w:rPr>
          <w:b/>
        </w:rPr>
        <w:t>.</w:t>
      </w:r>
      <w:proofErr w:type="gramEnd"/>
      <w:r>
        <w:rPr>
          <w:b/>
        </w:rPr>
        <w:t xml:space="preserve"> </w:t>
      </w:r>
      <w:proofErr w:type="gramStart"/>
      <w:r w:rsidR="00C86224">
        <w:t>PIK-108</w:t>
      </w:r>
      <w:r w:rsidRPr="00544EDD">
        <w:t xml:space="preserve"> </w:t>
      </w:r>
      <w:r>
        <w:t xml:space="preserve">in the non-ATP binding pocket of WT </w:t>
      </w:r>
      <w:r w:rsidR="00C86224">
        <w:rPr>
          <w:rFonts w:cstheme="minorHAnsi"/>
        </w:rPr>
        <w:t>human (top, left), WT murine (top, right)</w:t>
      </w:r>
      <w:r>
        <w:rPr>
          <w:rFonts w:cstheme="minorHAnsi"/>
        </w:rPr>
        <w:t xml:space="preserve"> and H1047R human</w:t>
      </w:r>
      <w:r w:rsidR="00C86224">
        <w:rPr>
          <w:rFonts w:cstheme="minorHAnsi"/>
        </w:rPr>
        <w:t xml:space="preserve"> (bottom)</w:t>
      </w:r>
      <w:r>
        <w:t xml:space="preserve"> PI3K</w:t>
      </w:r>
      <w:r>
        <w:rPr>
          <w:rFonts w:cstheme="minorHAnsi"/>
        </w:rPr>
        <w:t>α.</w:t>
      </w:r>
      <w:proofErr w:type="gramEnd"/>
      <w:r>
        <w:rPr>
          <w:rFonts w:cstheme="minorHAnsi"/>
        </w:rPr>
        <w:t xml:space="preserve"> The protein is shown in New Cartoon </w:t>
      </w:r>
      <w:r w:rsidR="006B1746">
        <w:rPr>
          <w:rFonts w:cstheme="minorHAnsi"/>
        </w:rPr>
        <w:t>representation;</w:t>
      </w:r>
      <w:r>
        <w:rPr>
          <w:rFonts w:cstheme="minorHAnsi"/>
        </w:rPr>
        <w:t xml:space="preserve"> the most important residues as well as </w:t>
      </w:r>
      <w:r w:rsidR="00C86224">
        <w:rPr>
          <w:rFonts w:cstheme="minorHAnsi"/>
        </w:rPr>
        <w:t>PIK-108</w:t>
      </w:r>
      <w:r>
        <w:rPr>
          <w:rFonts w:cstheme="minorHAnsi"/>
        </w:rPr>
        <w:t xml:space="preserve"> are shown in licorice representation and are colored in mag</w:t>
      </w:r>
      <w:r w:rsidR="00C86224">
        <w:rPr>
          <w:rFonts w:cstheme="minorHAnsi"/>
        </w:rPr>
        <w:t>enta and by name respectively. The pi-stacking between Phe960-Chromone-Phe980 is shown at the bottom right.</w:t>
      </w:r>
    </w:p>
    <w:p w:rsidR="00C03598" w:rsidRDefault="002D2E2D" w:rsidP="000115CA">
      <w:pPr>
        <w:jc w:val="both"/>
        <w:rPr>
          <w:u w:val="single"/>
        </w:rPr>
      </w:pPr>
      <w:r>
        <w:rPr>
          <w:u w:val="single"/>
        </w:rPr>
        <w:t>C.2.2</w:t>
      </w:r>
      <w:r w:rsidR="00384388" w:rsidRPr="00384388">
        <w:rPr>
          <w:u w:val="single"/>
        </w:rPr>
        <w:t xml:space="preserve"> </w:t>
      </w:r>
      <w:r w:rsidR="00C03598" w:rsidRPr="00384388">
        <w:rPr>
          <w:u w:val="single"/>
        </w:rPr>
        <w:t xml:space="preserve">Protein-Ligand interactions in the </w:t>
      </w:r>
      <w:r w:rsidR="00675CF3" w:rsidRPr="00384388">
        <w:rPr>
          <w:u w:val="single"/>
        </w:rPr>
        <w:t>ATP binding pocket</w:t>
      </w:r>
    </w:p>
    <w:p w:rsidR="00C03598" w:rsidRDefault="009633D0" w:rsidP="000115CA">
      <w:pPr>
        <w:jc w:val="both"/>
      </w:pPr>
      <w:r>
        <w:t>PIK-108 packs between p110</w:t>
      </w:r>
      <w:r>
        <w:rPr>
          <w:rFonts w:cstheme="minorHAnsi"/>
        </w:rPr>
        <w:t>α</w:t>
      </w:r>
      <w:r>
        <w:t xml:space="preserve"> residues Ile800, Val850, and Val851 on one side, and residues Met922, Phe930, Ile932, and Asp933 on the other side, within the catalytic site, in agreement with experimental results [Hon2012, Mandelker]. The key hydrogen bond of PIK-108 with Val851 was observed in all three </w:t>
      </w:r>
      <w:r>
        <w:lastRenderedPageBreak/>
        <w:t>variants</w:t>
      </w:r>
      <w:r w:rsidR="004E5A8A">
        <w:t xml:space="preserve">, </w:t>
      </w:r>
      <w:r>
        <w:t xml:space="preserve">with </w:t>
      </w:r>
      <w:r w:rsidR="004E5A8A">
        <w:t>similar</w:t>
      </w:r>
      <w:r>
        <w:t xml:space="preserve"> occurrences: </w:t>
      </w:r>
      <w:r w:rsidR="004E5A8A">
        <w:t>91.97</w:t>
      </w:r>
      <w:r>
        <w:t xml:space="preserve">% for the murine WT, </w:t>
      </w:r>
      <w:r w:rsidR="004E5A8A">
        <w:t>98.33</w:t>
      </w:r>
      <w:r>
        <w:t xml:space="preserve">% for the human WT, and </w:t>
      </w:r>
      <w:r w:rsidR="004E5A8A">
        <w:t>93.00</w:t>
      </w:r>
      <w:r>
        <w:t xml:space="preserve">% for the human mutant protein. This hydrogen bond with Val851 seems to stabilize ligand’s positioning in the catalytic pocket in all three variants. </w:t>
      </w:r>
      <w:r w:rsidR="00A96FA4">
        <w:t xml:space="preserve">Also, in the case of the WT human another quite </w:t>
      </w:r>
      <w:r w:rsidR="00CB5A4A">
        <w:t>frequent hydrogen</w:t>
      </w:r>
      <w:r w:rsidR="00A96FA4">
        <w:t xml:space="preserve"> bond of PIK-108 and Asp2933 is observed</w:t>
      </w:r>
      <w:r w:rsidR="00DE7C86">
        <w:t xml:space="preserve"> (occupancy 53.68%)</w:t>
      </w:r>
      <w:r w:rsidR="00A96FA4">
        <w:t>. Electrostatic interactions between PIK-108 and Asp933</w:t>
      </w:r>
      <w:r w:rsidR="00C60F2C">
        <w:t xml:space="preserve"> </w:t>
      </w:r>
      <w:r w:rsidR="00A96FA4">
        <w:t xml:space="preserve">are also identified for the WT murine protein (-1.87±0.13 kcal/mol) and to a much less degree for the mutant protein (-0.23±0.06 kcal/mol). </w:t>
      </w:r>
      <w:r>
        <w:t>In the case of the mutant, a</w:t>
      </w:r>
      <w:r w:rsidR="00C60F2C">
        <w:t xml:space="preserve"> salt bridge between Asp933 and Lys776 is formed and keeps the P-lo</w:t>
      </w:r>
      <w:r w:rsidR="00A96FA4">
        <w:t>op and the activation loop</w:t>
      </w:r>
      <w:r w:rsidR="00C60F2C">
        <w:t xml:space="preserve"> </w:t>
      </w:r>
      <w:r>
        <w:t xml:space="preserve">close </w:t>
      </w:r>
      <w:r w:rsidR="00C60F2C">
        <w:t>throughout the simulation course. This salt bridge is not evident in neither of the WT protein forms. Instead, Lys776 forms a salt bridge with Asp805.</w:t>
      </w:r>
      <w:r>
        <w:t xml:space="preserve"> </w:t>
      </w:r>
      <w:r w:rsidR="00891E8E">
        <w:t>In all the three systems PIK-108 interacts with Val851 and Phe930, with similar interaction energies</w:t>
      </w:r>
      <w:r w:rsidR="0075411E">
        <w:t xml:space="preserve"> (Table 2)</w:t>
      </w:r>
      <w:r w:rsidR="00891E8E">
        <w:t>.</w:t>
      </w:r>
      <w:r w:rsidR="006B1746">
        <w:t xml:space="preserve">In the case of H1047R protein, PIK-108 also interacts with Gln859 while this interaction is almost absent in the WT forms. </w:t>
      </w:r>
    </w:p>
    <w:p w:rsidR="0075411E" w:rsidRDefault="00397A65" w:rsidP="0075411E">
      <w:pPr>
        <w:jc w:val="center"/>
      </w:pPr>
      <w:proofErr w:type="gramStart"/>
      <w:r>
        <w:rPr>
          <w:b/>
        </w:rPr>
        <w:t>Table 3</w:t>
      </w:r>
      <w:r w:rsidR="0075411E" w:rsidRPr="0075411E">
        <w:rPr>
          <w:b/>
        </w:rPr>
        <w:t>.</w:t>
      </w:r>
      <w:proofErr w:type="gramEnd"/>
      <w:r w:rsidR="0075411E">
        <w:t xml:space="preserve"> </w:t>
      </w:r>
      <w:proofErr w:type="gramStart"/>
      <w:r w:rsidR="0075411E">
        <w:t>Other important VDW interaction energies</w:t>
      </w:r>
      <w:r>
        <w:t xml:space="preserve"> in the catalytic pocket</w:t>
      </w:r>
      <w:r w:rsidR="0075411E">
        <w:t>.</w:t>
      </w:r>
      <w:proofErr w:type="gramEnd"/>
    </w:p>
    <w:p w:rsidR="00F4269C" w:rsidRDefault="00891E8E" w:rsidP="00891E8E">
      <w:pPr>
        <w:jc w:val="center"/>
      </w:pPr>
      <w:r w:rsidRPr="00891E8E">
        <w:rPr>
          <w:noProof/>
        </w:rPr>
        <w:drawing>
          <wp:inline distT="0" distB="0" distL="0" distR="0">
            <wp:extent cx="4276725" cy="11525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6725" cy="1152525"/>
                    </a:xfrm>
                    <a:prstGeom prst="rect">
                      <a:avLst/>
                    </a:prstGeom>
                    <a:noFill/>
                    <a:ln>
                      <a:noFill/>
                    </a:ln>
                  </pic:spPr>
                </pic:pic>
              </a:graphicData>
            </a:graphic>
          </wp:inline>
        </w:drawing>
      </w:r>
    </w:p>
    <w:p w:rsidR="00F4269C" w:rsidRDefault="00F4269C" w:rsidP="000115CA">
      <w:pPr>
        <w:jc w:val="both"/>
      </w:pPr>
    </w:p>
    <w:p w:rsidR="00CA4A84" w:rsidRDefault="00D52A1A" w:rsidP="000115CA">
      <w:pPr>
        <w:jc w:val="both"/>
      </w:pPr>
      <w:r>
        <w:rPr>
          <w:noProof/>
        </w:rPr>
        <w:drawing>
          <wp:inline distT="0" distB="0" distL="0" distR="0">
            <wp:extent cx="6291806" cy="2791308"/>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004" cy="2794501"/>
                    </a:xfrm>
                    <a:prstGeom prst="rect">
                      <a:avLst/>
                    </a:prstGeom>
                    <a:noFill/>
                  </pic:spPr>
                </pic:pic>
              </a:graphicData>
            </a:graphic>
          </wp:inline>
        </w:drawing>
      </w:r>
    </w:p>
    <w:p w:rsidR="00BD2F2D" w:rsidRDefault="00BD2F2D" w:rsidP="00BD2F2D">
      <w:pPr>
        <w:jc w:val="both"/>
      </w:pPr>
      <w:proofErr w:type="gramStart"/>
      <w:r w:rsidRPr="0010274A">
        <w:rPr>
          <w:b/>
        </w:rPr>
        <w:t xml:space="preserve">Figure </w:t>
      </w:r>
      <w:r w:rsidR="0016481F">
        <w:rPr>
          <w:b/>
        </w:rPr>
        <w:t>6</w:t>
      </w:r>
      <w:r>
        <w:t>.</w:t>
      </w:r>
      <w:proofErr w:type="gramEnd"/>
      <w:r>
        <w:t xml:space="preserve"> Average PIK-108-residue VDW interaction energy in the ATP binding pocket. Significant differences between the WT and the mutant binding mode can be observed.</w:t>
      </w:r>
    </w:p>
    <w:p w:rsidR="00CA4A84" w:rsidRDefault="00CA4A84" w:rsidP="000115CA">
      <w:pPr>
        <w:jc w:val="both"/>
      </w:pPr>
    </w:p>
    <w:p w:rsidR="005B18B9" w:rsidRDefault="00D52A1A" w:rsidP="00D52A1A">
      <w:pPr>
        <w:jc w:val="both"/>
      </w:pPr>
      <w:r>
        <w:rPr>
          <w:noProof/>
        </w:rPr>
        <w:lastRenderedPageBreak/>
        <w:drawing>
          <wp:inline distT="0" distB="0" distL="0" distR="0">
            <wp:extent cx="5934454" cy="2630312"/>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5683" cy="2635289"/>
                    </a:xfrm>
                    <a:prstGeom prst="rect">
                      <a:avLst/>
                    </a:prstGeom>
                    <a:noFill/>
                  </pic:spPr>
                </pic:pic>
              </a:graphicData>
            </a:graphic>
          </wp:inline>
        </w:drawing>
      </w:r>
    </w:p>
    <w:p w:rsidR="00C25993" w:rsidRDefault="00C25993" w:rsidP="00C25993">
      <w:pPr>
        <w:jc w:val="both"/>
      </w:pPr>
      <w:proofErr w:type="gramStart"/>
      <w:r w:rsidRPr="0010274A">
        <w:rPr>
          <w:b/>
        </w:rPr>
        <w:t xml:space="preserve">Figure </w:t>
      </w:r>
      <w:r w:rsidR="0016481F">
        <w:rPr>
          <w:b/>
        </w:rPr>
        <w:t>7</w:t>
      </w:r>
      <w:r>
        <w:t>.</w:t>
      </w:r>
      <w:proofErr w:type="gramEnd"/>
      <w:r>
        <w:t xml:space="preserve"> </w:t>
      </w:r>
      <w:proofErr w:type="gramStart"/>
      <w:r>
        <w:t>Average PIK-108-residue Coulombic interaction energy in the ATP binding pocket.</w:t>
      </w:r>
      <w:proofErr w:type="gramEnd"/>
      <w:r>
        <w:t xml:space="preserve"> Significant differences between the WT and the mutant binding mode can be observed.</w:t>
      </w:r>
    </w:p>
    <w:p w:rsidR="00C25993" w:rsidRDefault="00C25993" w:rsidP="00C03598"/>
    <w:p w:rsidR="00C25993" w:rsidRDefault="00C25993" w:rsidP="00C03598"/>
    <w:p w:rsidR="005B18B9" w:rsidRDefault="005B18B9" w:rsidP="00C03598"/>
    <w:p w:rsidR="00716D1D" w:rsidRDefault="00716D1D" w:rsidP="0010274A">
      <w:pPr>
        <w:jc w:val="both"/>
      </w:pPr>
    </w:p>
    <w:p w:rsidR="00716D1D" w:rsidRDefault="00716D1D" w:rsidP="0010274A">
      <w:pPr>
        <w:jc w:val="both"/>
      </w:pPr>
      <w:r>
        <w:rPr>
          <w:noProof/>
        </w:rPr>
        <w:lastRenderedPageBreak/>
        <w:drawing>
          <wp:inline distT="0" distB="0" distL="0" distR="0">
            <wp:extent cx="5943600" cy="71977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7197725"/>
                    </a:xfrm>
                    <a:prstGeom prst="rect">
                      <a:avLst/>
                    </a:prstGeom>
                  </pic:spPr>
                </pic:pic>
              </a:graphicData>
            </a:graphic>
          </wp:inline>
        </w:drawing>
      </w:r>
    </w:p>
    <w:p w:rsidR="00716D1D" w:rsidRDefault="00716D1D" w:rsidP="00716D1D">
      <w:pPr>
        <w:jc w:val="both"/>
      </w:pPr>
      <w:proofErr w:type="gramStart"/>
      <w:r w:rsidRPr="0010274A">
        <w:rPr>
          <w:b/>
        </w:rPr>
        <w:t xml:space="preserve">Figure </w:t>
      </w:r>
      <w:r w:rsidR="0016481F">
        <w:rPr>
          <w:b/>
        </w:rPr>
        <w:t>10</w:t>
      </w:r>
      <w:r>
        <w:t>.</w:t>
      </w:r>
      <w:proofErr w:type="gramEnd"/>
      <w:r>
        <w:t xml:space="preserve"> </w:t>
      </w:r>
      <w:proofErr w:type="gramStart"/>
      <w:r>
        <w:t>PIK-108 poses taken from the 1</w:t>
      </w:r>
      <w:r w:rsidRPr="00716D1D">
        <w:rPr>
          <w:vertAlign w:val="superscript"/>
        </w:rPr>
        <w:t>st</w:t>
      </w:r>
      <w:r>
        <w:t xml:space="preserve"> cluster representation in the non-ATP binding pocket (top) and the ATP binding pocket (bottom).</w:t>
      </w:r>
      <w:proofErr w:type="gramEnd"/>
      <w:r>
        <w:t xml:space="preserve"> The ligand, volume grid, and key binding site residues are colored light blue for the WT human, purple for the WT murine and blue for the mutant human.</w:t>
      </w:r>
    </w:p>
    <w:p w:rsidR="00056A6F" w:rsidRPr="00056A6F" w:rsidRDefault="00056A6F" w:rsidP="00056A6F">
      <w:pPr>
        <w:rPr>
          <w:b/>
          <w:sz w:val="24"/>
          <w:szCs w:val="24"/>
        </w:rPr>
      </w:pPr>
      <w:r>
        <w:rPr>
          <w:b/>
          <w:sz w:val="24"/>
          <w:szCs w:val="24"/>
        </w:rPr>
        <w:lastRenderedPageBreak/>
        <w:t>C.3 Study of the LY294002-PI3Kα interactions</w:t>
      </w:r>
    </w:p>
    <w:p w:rsidR="00056A6F" w:rsidRDefault="00056A6F" w:rsidP="00056A6F">
      <w:pPr>
        <w:jc w:val="both"/>
      </w:pPr>
      <w:r>
        <w:rPr>
          <w:noProof/>
        </w:rPr>
        <w:drawing>
          <wp:inline distT="0" distB="0" distL="0" distR="0">
            <wp:extent cx="5943600" cy="2982295"/>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982295"/>
                    </a:xfrm>
                    <a:prstGeom prst="rect">
                      <a:avLst/>
                    </a:prstGeom>
                    <a:noFill/>
                    <a:ln>
                      <a:noFill/>
                    </a:ln>
                  </pic:spPr>
                </pic:pic>
              </a:graphicData>
            </a:graphic>
          </wp:inline>
        </w:drawing>
      </w:r>
    </w:p>
    <w:p w:rsidR="00056A6F" w:rsidRPr="00544EDD" w:rsidRDefault="00056A6F" w:rsidP="00056A6F">
      <w:pPr>
        <w:jc w:val="both"/>
      </w:pPr>
      <w:proofErr w:type="gramStart"/>
      <w:r>
        <w:rPr>
          <w:b/>
        </w:rPr>
        <w:t xml:space="preserve">Figure </w:t>
      </w:r>
      <w:r w:rsidR="0016481F">
        <w:rPr>
          <w:b/>
        </w:rPr>
        <w:t>11</w:t>
      </w:r>
      <w:r>
        <w:rPr>
          <w:b/>
        </w:rPr>
        <w:t>.</w:t>
      </w:r>
      <w:proofErr w:type="gramEnd"/>
      <w:r>
        <w:rPr>
          <w:b/>
        </w:rPr>
        <w:t xml:space="preserve"> </w:t>
      </w:r>
      <w:proofErr w:type="gramStart"/>
      <w:r w:rsidRPr="00544EDD">
        <w:t xml:space="preserve">LY294002 </w:t>
      </w:r>
      <w:r>
        <w:t xml:space="preserve">in the non-ATP binding pocket of WT </w:t>
      </w:r>
      <w:r>
        <w:rPr>
          <w:rFonts w:cstheme="minorHAnsi"/>
        </w:rPr>
        <w:t>(left) and H1047R human</w:t>
      </w:r>
      <w:r>
        <w:t xml:space="preserve"> PI3K</w:t>
      </w:r>
      <w:r>
        <w:rPr>
          <w:rFonts w:cstheme="minorHAnsi"/>
        </w:rPr>
        <w:t>α.</w:t>
      </w:r>
      <w:proofErr w:type="gramEnd"/>
      <w:r>
        <w:rPr>
          <w:rFonts w:cstheme="minorHAnsi"/>
        </w:rPr>
        <w:t xml:space="preserve"> The protein is shown in New Cartoon </w:t>
      </w:r>
      <w:r w:rsidR="00CB5A4A">
        <w:rPr>
          <w:rFonts w:cstheme="minorHAnsi"/>
        </w:rPr>
        <w:t>representation;</w:t>
      </w:r>
      <w:r>
        <w:rPr>
          <w:rFonts w:cstheme="minorHAnsi"/>
        </w:rPr>
        <w:t xml:space="preserve"> the most important residues as well as LY294002 are shown in licorice representation and are colored in magenta and by name respectively.  </w:t>
      </w:r>
    </w:p>
    <w:p w:rsidR="00056A6F" w:rsidRDefault="00056A6F" w:rsidP="00056A6F">
      <w:pPr>
        <w:jc w:val="both"/>
      </w:pPr>
      <w:proofErr w:type="gramStart"/>
      <w:r>
        <w:t>The hydrogen bonds that are presented in Table</w:t>
      </w:r>
      <w:r w:rsidR="006D54D6">
        <w:t xml:space="preserve"> 3</w:t>
      </w:r>
      <w:r>
        <w:t>.</w:t>
      </w:r>
      <w:proofErr w:type="gramEnd"/>
    </w:p>
    <w:p w:rsidR="00056A6F" w:rsidRDefault="00056A6F" w:rsidP="00056A6F">
      <w:pPr>
        <w:jc w:val="center"/>
      </w:pPr>
      <w:proofErr w:type="gramStart"/>
      <w:r w:rsidRPr="00056A6F">
        <w:rPr>
          <w:b/>
        </w:rPr>
        <w:t xml:space="preserve">Table </w:t>
      </w:r>
      <w:r w:rsidR="006D54D6">
        <w:rPr>
          <w:b/>
        </w:rPr>
        <w:t>3</w:t>
      </w:r>
      <w:r w:rsidRPr="00056A6F">
        <w:rPr>
          <w:b/>
        </w:rPr>
        <w:t>.</w:t>
      </w:r>
      <w:proofErr w:type="gramEnd"/>
      <w:r>
        <w:t xml:space="preserve"> </w:t>
      </w:r>
      <w:proofErr w:type="gramStart"/>
      <w:r>
        <w:t>Hydrogen bond occupancy for the different systems.</w:t>
      </w:r>
      <w:proofErr w:type="gramEnd"/>
    </w:p>
    <w:tbl>
      <w:tblPr>
        <w:tblStyle w:val="TableGrid"/>
        <w:tblW w:w="0" w:type="auto"/>
        <w:jc w:val="center"/>
        <w:tblLook w:val="04A0"/>
      </w:tblPr>
      <w:tblGrid>
        <w:gridCol w:w="967"/>
        <w:gridCol w:w="1216"/>
        <w:gridCol w:w="1703"/>
      </w:tblGrid>
      <w:tr w:rsidR="00056A6F" w:rsidTr="0054506D">
        <w:trPr>
          <w:jc w:val="center"/>
        </w:trPr>
        <w:tc>
          <w:tcPr>
            <w:tcW w:w="0" w:type="auto"/>
          </w:tcPr>
          <w:p w:rsidR="00056A6F" w:rsidRPr="007F2FD5" w:rsidRDefault="00056A6F" w:rsidP="0054506D">
            <w:pPr>
              <w:jc w:val="center"/>
              <w:rPr>
                <w:b/>
              </w:rPr>
            </w:pPr>
          </w:p>
        </w:tc>
        <w:tc>
          <w:tcPr>
            <w:tcW w:w="2919" w:type="dxa"/>
            <w:gridSpan w:val="2"/>
          </w:tcPr>
          <w:p w:rsidR="00056A6F" w:rsidRPr="007F2FD5" w:rsidRDefault="00056A6F" w:rsidP="0054506D">
            <w:pPr>
              <w:jc w:val="center"/>
              <w:rPr>
                <w:b/>
              </w:rPr>
            </w:pPr>
            <w:r>
              <w:rPr>
                <w:b/>
              </w:rPr>
              <w:t>Hydrogen bond % occupancy</w:t>
            </w:r>
          </w:p>
        </w:tc>
      </w:tr>
      <w:tr w:rsidR="00056A6F" w:rsidTr="0054506D">
        <w:trPr>
          <w:jc w:val="center"/>
        </w:trPr>
        <w:tc>
          <w:tcPr>
            <w:tcW w:w="0" w:type="auto"/>
          </w:tcPr>
          <w:p w:rsidR="00056A6F" w:rsidRPr="007F2FD5" w:rsidRDefault="00056A6F" w:rsidP="0054506D">
            <w:pPr>
              <w:jc w:val="center"/>
              <w:rPr>
                <w:b/>
              </w:rPr>
            </w:pPr>
            <w:r w:rsidRPr="007F2FD5">
              <w:rPr>
                <w:b/>
              </w:rPr>
              <w:t>residue</w:t>
            </w:r>
          </w:p>
        </w:tc>
        <w:tc>
          <w:tcPr>
            <w:tcW w:w="0" w:type="auto"/>
          </w:tcPr>
          <w:p w:rsidR="00056A6F" w:rsidRPr="007F2FD5" w:rsidRDefault="00056A6F" w:rsidP="0054506D">
            <w:pPr>
              <w:jc w:val="center"/>
              <w:rPr>
                <w:b/>
              </w:rPr>
            </w:pPr>
            <w:r w:rsidRPr="007F2FD5">
              <w:rPr>
                <w:b/>
              </w:rPr>
              <w:t>WT human</w:t>
            </w:r>
          </w:p>
        </w:tc>
        <w:tc>
          <w:tcPr>
            <w:tcW w:w="1703" w:type="dxa"/>
          </w:tcPr>
          <w:p w:rsidR="00056A6F" w:rsidRPr="007F2FD5" w:rsidRDefault="00056A6F" w:rsidP="0054506D">
            <w:pPr>
              <w:jc w:val="center"/>
              <w:rPr>
                <w:b/>
              </w:rPr>
            </w:pPr>
            <w:r w:rsidRPr="007F2FD5">
              <w:rPr>
                <w:b/>
              </w:rPr>
              <w:t>WT mutant</w:t>
            </w:r>
          </w:p>
        </w:tc>
      </w:tr>
      <w:tr w:rsidR="00056A6F" w:rsidTr="0054506D">
        <w:trPr>
          <w:jc w:val="center"/>
        </w:trPr>
        <w:tc>
          <w:tcPr>
            <w:tcW w:w="3813" w:type="dxa"/>
            <w:gridSpan w:val="3"/>
          </w:tcPr>
          <w:p w:rsidR="00056A6F" w:rsidRPr="007F2FD5" w:rsidRDefault="00056A6F" w:rsidP="0054506D">
            <w:pPr>
              <w:rPr>
                <w:b/>
              </w:rPr>
            </w:pPr>
            <w:r w:rsidRPr="007F2FD5">
              <w:rPr>
                <w:b/>
              </w:rPr>
              <w:t>Catalytic pocket</w:t>
            </w:r>
          </w:p>
        </w:tc>
      </w:tr>
      <w:tr w:rsidR="00056A6F" w:rsidTr="0054506D">
        <w:trPr>
          <w:jc w:val="center"/>
        </w:trPr>
        <w:tc>
          <w:tcPr>
            <w:tcW w:w="0" w:type="auto"/>
          </w:tcPr>
          <w:p w:rsidR="00056A6F" w:rsidRDefault="00056A6F" w:rsidP="0054506D">
            <w:pPr>
              <w:jc w:val="center"/>
            </w:pPr>
            <w:r>
              <w:t>Val851</w:t>
            </w:r>
          </w:p>
        </w:tc>
        <w:tc>
          <w:tcPr>
            <w:tcW w:w="0" w:type="auto"/>
          </w:tcPr>
          <w:p w:rsidR="00056A6F" w:rsidRDefault="00056A6F" w:rsidP="0054506D">
            <w:pPr>
              <w:jc w:val="center"/>
            </w:pPr>
            <w:r>
              <w:t>90.93</w:t>
            </w:r>
          </w:p>
        </w:tc>
        <w:tc>
          <w:tcPr>
            <w:tcW w:w="1703" w:type="dxa"/>
          </w:tcPr>
          <w:p w:rsidR="00056A6F" w:rsidRDefault="00056A6F" w:rsidP="0054506D">
            <w:pPr>
              <w:jc w:val="center"/>
            </w:pPr>
            <w:r>
              <w:t>92.89</w:t>
            </w:r>
          </w:p>
        </w:tc>
      </w:tr>
      <w:tr w:rsidR="00056A6F" w:rsidTr="0054506D">
        <w:trPr>
          <w:jc w:val="center"/>
        </w:trPr>
        <w:tc>
          <w:tcPr>
            <w:tcW w:w="0" w:type="auto"/>
          </w:tcPr>
          <w:p w:rsidR="00056A6F" w:rsidRDefault="00056A6F" w:rsidP="0054506D">
            <w:pPr>
              <w:jc w:val="center"/>
            </w:pPr>
            <w:r>
              <w:t>Asp933</w:t>
            </w:r>
          </w:p>
        </w:tc>
        <w:tc>
          <w:tcPr>
            <w:tcW w:w="0" w:type="auto"/>
          </w:tcPr>
          <w:p w:rsidR="00056A6F" w:rsidRDefault="00056A6F" w:rsidP="0054506D">
            <w:pPr>
              <w:jc w:val="center"/>
            </w:pPr>
            <w:r>
              <w:t>16.81</w:t>
            </w:r>
          </w:p>
        </w:tc>
        <w:tc>
          <w:tcPr>
            <w:tcW w:w="1703" w:type="dxa"/>
          </w:tcPr>
          <w:p w:rsidR="00056A6F" w:rsidRDefault="00056A6F" w:rsidP="0054506D">
            <w:pPr>
              <w:jc w:val="center"/>
            </w:pPr>
            <w:r>
              <w:t>8.47</w:t>
            </w:r>
          </w:p>
        </w:tc>
      </w:tr>
      <w:tr w:rsidR="00056A6F" w:rsidTr="0054506D">
        <w:trPr>
          <w:jc w:val="center"/>
        </w:trPr>
        <w:tc>
          <w:tcPr>
            <w:tcW w:w="3813" w:type="dxa"/>
            <w:gridSpan w:val="3"/>
          </w:tcPr>
          <w:p w:rsidR="00056A6F" w:rsidRPr="007F2FD5" w:rsidRDefault="00056A6F" w:rsidP="0054506D">
            <w:pPr>
              <w:rPr>
                <w:b/>
              </w:rPr>
            </w:pPr>
            <w:r w:rsidRPr="007F2FD5">
              <w:rPr>
                <w:b/>
              </w:rPr>
              <w:t>Allosteric pocket</w:t>
            </w:r>
          </w:p>
        </w:tc>
      </w:tr>
      <w:tr w:rsidR="00056A6F" w:rsidTr="0054506D">
        <w:trPr>
          <w:jc w:val="center"/>
        </w:trPr>
        <w:tc>
          <w:tcPr>
            <w:tcW w:w="0" w:type="auto"/>
          </w:tcPr>
          <w:p w:rsidR="00056A6F" w:rsidRDefault="00056A6F" w:rsidP="0054506D">
            <w:pPr>
              <w:jc w:val="center"/>
            </w:pPr>
            <w:r>
              <w:t>Leu956</w:t>
            </w:r>
          </w:p>
        </w:tc>
        <w:tc>
          <w:tcPr>
            <w:tcW w:w="0" w:type="auto"/>
          </w:tcPr>
          <w:p w:rsidR="00056A6F" w:rsidRDefault="00056A6F" w:rsidP="0054506D">
            <w:pPr>
              <w:jc w:val="center"/>
            </w:pPr>
            <w:r>
              <w:t>4.20</w:t>
            </w:r>
          </w:p>
        </w:tc>
        <w:tc>
          <w:tcPr>
            <w:tcW w:w="1703" w:type="dxa"/>
          </w:tcPr>
          <w:p w:rsidR="00056A6F" w:rsidRDefault="00056A6F" w:rsidP="0054506D">
            <w:pPr>
              <w:jc w:val="center"/>
            </w:pPr>
            <w:r>
              <w:t>-</w:t>
            </w:r>
          </w:p>
        </w:tc>
      </w:tr>
      <w:tr w:rsidR="00056A6F" w:rsidTr="0054506D">
        <w:trPr>
          <w:jc w:val="center"/>
        </w:trPr>
        <w:tc>
          <w:tcPr>
            <w:tcW w:w="0" w:type="auto"/>
          </w:tcPr>
          <w:p w:rsidR="00056A6F" w:rsidRDefault="00056A6F" w:rsidP="0054506D">
            <w:pPr>
              <w:jc w:val="center"/>
            </w:pPr>
            <w:r>
              <w:t>His1047</w:t>
            </w:r>
          </w:p>
        </w:tc>
        <w:tc>
          <w:tcPr>
            <w:tcW w:w="0" w:type="auto"/>
          </w:tcPr>
          <w:p w:rsidR="00056A6F" w:rsidRDefault="00056A6F" w:rsidP="0054506D">
            <w:pPr>
              <w:jc w:val="center"/>
            </w:pPr>
            <w:r>
              <w:t>3.87</w:t>
            </w:r>
          </w:p>
        </w:tc>
        <w:tc>
          <w:tcPr>
            <w:tcW w:w="1703" w:type="dxa"/>
          </w:tcPr>
          <w:p w:rsidR="00056A6F" w:rsidRDefault="00056A6F" w:rsidP="0054506D">
            <w:pPr>
              <w:jc w:val="center"/>
            </w:pPr>
            <w:r>
              <w:t>-</w:t>
            </w:r>
          </w:p>
        </w:tc>
      </w:tr>
      <w:tr w:rsidR="00056A6F" w:rsidTr="0054506D">
        <w:trPr>
          <w:jc w:val="center"/>
        </w:trPr>
        <w:tc>
          <w:tcPr>
            <w:tcW w:w="0" w:type="auto"/>
          </w:tcPr>
          <w:p w:rsidR="00056A6F" w:rsidRDefault="00056A6F" w:rsidP="0054506D">
            <w:pPr>
              <w:jc w:val="center"/>
            </w:pPr>
            <w:r>
              <w:t>Gln981</w:t>
            </w:r>
          </w:p>
        </w:tc>
        <w:tc>
          <w:tcPr>
            <w:tcW w:w="0" w:type="auto"/>
          </w:tcPr>
          <w:p w:rsidR="00056A6F" w:rsidRDefault="00056A6F" w:rsidP="0054506D">
            <w:pPr>
              <w:jc w:val="center"/>
            </w:pPr>
            <w:r>
              <w:t>-</w:t>
            </w:r>
          </w:p>
        </w:tc>
        <w:tc>
          <w:tcPr>
            <w:tcW w:w="1703" w:type="dxa"/>
          </w:tcPr>
          <w:p w:rsidR="00056A6F" w:rsidRDefault="00056A6F" w:rsidP="0054506D">
            <w:pPr>
              <w:jc w:val="center"/>
            </w:pPr>
            <w:r>
              <w:t>4.49</w:t>
            </w:r>
          </w:p>
        </w:tc>
      </w:tr>
      <w:tr w:rsidR="00056A6F" w:rsidTr="0054506D">
        <w:trPr>
          <w:jc w:val="center"/>
        </w:trPr>
        <w:tc>
          <w:tcPr>
            <w:tcW w:w="0" w:type="auto"/>
          </w:tcPr>
          <w:p w:rsidR="00056A6F" w:rsidRDefault="00056A6F" w:rsidP="0054506D">
            <w:pPr>
              <w:jc w:val="center"/>
            </w:pPr>
            <w:r>
              <w:t>Gln1042</w:t>
            </w:r>
          </w:p>
        </w:tc>
        <w:tc>
          <w:tcPr>
            <w:tcW w:w="0" w:type="auto"/>
          </w:tcPr>
          <w:p w:rsidR="00056A6F" w:rsidRDefault="00056A6F" w:rsidP="0054506D">
            <w:pPr>
              <w:jc w:val="center"/>
            </w:pPr>
            <w:r>
              <w:t>-</w:t>
            </w:r>
          </w:p>
        </w:tc>
        <w:tc>
          <w:tcPr>
            <w:tcW w:w="1703" w:type="dxa"/>
          </w:tcPr>
          <w:p w:rsidR="00056A6F" w:rsidRDefault="00056A6F" w:rsidP="0054506D">
            <w:pPr>
              <w:jc w:val="center"/>
            </w:pPr>
            <w:r>
              <w:t>4.44</w:t>
            </w:r>
          </w:p>
        </w:tc>
      </w:tr>
      <w:tr w:rsidR="00056A6F" w:rsidTr="0054506D">
        <w:trPr>
          <w:jc w:val="center"/>
        </w:trPr>
        <w:tc>
          <w:tcPr>
            <w:tcW w:w="0" w:type="auto"/>
          </w:tcPr>
          <w:p w:rsidR="00056A6F" w:rsidRDefault="00056A6F" w:rsidP="0054506D">
            <w:pPr>
              <w:jc w:val="center"/>
            </w:pPr>
            <w:r>
              <w:t>Thr908</w:t>
            </w:r>
          </w:p>
        </w:tc>
        <w:tc>
          <w:tcPr>
            <w:tcW w:w="0" w:type="auto"/>
          </w:tcPr>
          <w:p w:rsidR="00056A6F" w:rsidRDefault="00056A6F" w:rsidP="0054506D">
            <w:pPr>
              <w:jc w:val="center"/>
            </w:pPr>
            <w:r>
              <w:t>-</w:t>
            </w:r>
          </w:p>
        </w:tc>
        <w:tc>
          <w:tcPr>
            <w:tcW w:w="1703" w:type="dxa"/>
          </w:tcPr>
          <w:p w:rsidR="00056A6F" w:rsidRDefault="00056A6F" w:rsidP="0054506D">
            <w:pPr>
              <w:jc w:val="center"/>
            </w:pPr>
            <w:r>
              <w:t>1.82</w:t>
            </w:r>
          </w:p>
        </w:tc>
      </w:tr>
    </w:tbl>
    <w:p w:rsidR="00056A6F" w:rsidRDefault="00056A6F" w:rsidP="00056A6F">
      <w:pPr>
        <w:jc w:val="center"/>
      </w:pPr>
    </w:p>
    <w:p w:rsidR="00056A6F" w:rsidRDefault="0016481F" w:rsidP="00056A6F">
      <w:pPr>
        <w:jc w:val="both"/>
      </w:pPr>
      <w:r>
        <w:rPr>
          <w:noProof/>
        </w:rPr>
        <w:lastRenderedPageBreak/>
        <w:drawing>
          <wp:inline distT="0" distB="0" distL="0" distR="0">
            <wp:extent cx="6243372" cy="265261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5579" cy="2657796"/>
                    </a:xfrm>
                    <a:prstGeom prst="rect">
                      <a:avLst/>
                    </a:prstGeom>
                    <a:noFill/>
                  </pic:spPr>
                </pic:pic>
              </a:graphicData>
            </a:graphic>
          </wp:inline>
        </w:drawing>
      </w:r>
    </w:p>
    <w:p w:rsidR="00296C97" w:rsidRDefault="00056A6F" w:rsidP="00296C97">
      <w:pPr>
        <w:jc w:val="both"/>
      </w:pPr>
      <w:proofErr w:type="gramStart"/>
      <w:r w:rsidRPr="0010274A">
        <w:rPr>
          <w:b/>
        </w:rPr>
        <w:t xml:space="preserve">Figure </w:t>
      </w:r>
      <w:r w:rsidR="0016481F">
        <w:rPr>
          <w:b/>
        </w:rPr>
        <w:t>12</w:t>
      </w:r>
      <w:r>
        <w:t>.</w:t>
      </w:r>
      <w:proofErr w:type="gramEnd"/>
      <w:r>
        <w:t xml:space="preserve"> </w:t>
      </w:r>
      <w:r w:rsidR="00296C97">
        <w:t>Average LY294002-residue VDW interaction energy in the ATP binding pocket. The similarity between the binding modes indicates that the two protein forms have similar ATP binding pockets.</w:t>
      </w:r>
    </w:p>
    <w:p w:rsidR="0016481F" w:rsidRDefault="0016481F" w:rsidP="00056A6F">
      <w:pPr>
        <w:jc w:val="center"/>
      </w:pPr>
    </w:p>
    <w:p w:rsidR="00056A6F" w:rsidRDefault="0016481F" w:rsidP="00056A6F">
      <w:pPr>
        <w:jc w:val="both"/>
      </w:pPr>
      <w:r>
        <w:rPr>
          <w:noProof/>
        </w:rPr>
        <w:drawing>
          <wp:inline distT="0" distB="0" distL="0" distR="0">
            <wp:extent cx="6030640" cy="2562226"/>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4214" cy="2563744"/>
                    </a:xfrm>
                    <a:prstGeom prst="rect">
                      <a:avLst/>
                    </a:prstGeom>
                    <a:noFill/>
                  </pic:spPr>
                </pic:pic>
              </a:graphicData>
            </a:graphic>
          </wp:inline>
        </w:drawing>
      </w:r>
    </w:p>
    <w:p w:rsidR="00056A6F" w:rsidRDefault="00056A6F" w:rsidP="00296C97">
      <w:pPr>
        <w:jc w:val="both"/>
      </w:pPr>
      <w:proofErr w:type="gramStart"/>
      <w:r w:rsidRPr="0010274A">
        <w:rPr>
          <w:b/>
        </w:rPr>
        <w:t xml:space="preserve">Figure </w:t>
      </w:r>
      <w:r w:rsidR="0016481F">
        <w:rPr>
          <w:b/>
        </w:rPr>
        <w:t>13</w:t>
      </w:r>
      <w:r>
        <w:t>.</w:t>
      </w:r>
      <w:proofErr w:type="gramEnd"/>
      <w:r>
        <w:t xml:space="preserve"> </w:t>
      </w:r>
      <w:proofErr w:type="gramStart"/>
      <w:r w:rsidR="00296C97">
        <w:t>Average LY294002-residue electrostatic interaction energy in the ATP binding pocket.</w:t>
      </w:r>
      <w:proofErr w:type="gramEnd"/>
      <w:r w:rsidR="00296C97">
        <w:t xml:space="preserve"> Electrostatic interactions are different only in the case of Glu849 and Asp933, whereas the strong interaction with Val851 is evident in both protein forms.</w:t>
      </w:r>
    </w:p>
    <w:p w:rsidR="0005734E" w:rsidRDefault="0005734E" w:rsidP="0005734E">
      <w:pPr>
        <w:jc w:val="both"/>
      </w:pPr>
      <w:r>
        <w:rPr>
          <w:noProof/>
        </w:rPr>
        <w:lastRenderedPageBreak/>
        <w:drawing>
          <wp:inline distT="0" distB="0" distL="0" distR="0">
            <wp:extent cx="6253786" cy="26570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2917" cy="2660911"/>
                    </a:xfrm>
                    <a:prstGeom prst="rect">
                      <a:avLst/>
                    </a:prstGeom>
                    <a:noFill/>
                  </pic:spPr>
                </pic:pic>
              </a:graphicData>
            </a:graphic>
          </wp:inline>
        </w:drawing>
      </w:r>
    </w:p>
    <w:p w:rsidR="0005734E" w:rsidRDefault="0005734E" w:rsidP="0005734E">
      <w:pPr>
        <w:jc w:val="center"/>
      </w:pPr>
      <w:proofErr w:type="gramStart"/>
      <w:r w:rsidRPr="0010274A">
        <w:rPr>
          <w:b/>
        </w:rPr>
        <w:t xml:space="preserve">Figure </w:t>
      </w:r>
      <w:r>
        <w:rPr>
          <w:b/>
        </w:rPr>
        <w:t>14</w:t>
      </w:r>
      <w:r>
        <w:t>.</w:t>
      </w:r>
      <w:proofErr w:type="gramEnd"/>
      <w:r>
        <w:t xml:space="preserve"> Average LY294002-residue VDW interaction energy in the allosteric pocket.</w:t>
      </w:r>
    </w:p>
    <w:p w:rsidR="00F62B76" w:rsidRDefault="00F62B76" w:rsidP="0005734E">
      <w:pPr>
        <w:jc w:val="center"/>
      </w:pPr>
    </w:p>
    <w:p w:rsidR="00056A6F" w:rsidRDefault="00F62B76" w:rsidP="00056A6F">
      <w:pPr>
        <w:jc w:val="both"/>
      </w:pPr>
      <w:r>
        <w:rPr>
          <w:noProof/>
        </w:rPr>
        <w:drawing>
          <wp:inline distT="0" distB="0" distL="0" distR="0">
            <wp:extent cx="6238876" cy="27678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2201" cy="2773739"/>
                    </a:xfrm>
                    <a:prstGeom prst="rect">
                      <a:avLst/>
                    </a:prstGeom>
                    <a:noFill/>
                  </pic:spPr>
                </pic:pic>
              </a:graphicData>
            </a:graphic>
          </wp:inline>
        </w:drawing>
      </w:r>
    </w:p>
    <w:p w:rsidR="0005734E" w:rsidRDefault="0005734E" w:rsidP="0005734E">
      <w:pPr>
        <w:jc w:val="center"/>
      </w:pPr>
      <w:proofErr w:type="gramStart"/>
      <w:r w:rsidRPr="0010274A">
        <w:rPr>
          <w:b/>
        </w:rPr>
        <w:t xml:space="preserve">Figure </w:t>
      </w:r>
      <w:r>
        <w:rPr>
          <w:b/>
        </w:rPr>
        <w:t>15</w:t>
      </w:r>
      <w:r>
        <w:t>.</w:t>
      </w:r>
      <w:proofErr w:type="gramEnd"/>
      <w:r>
        <w:t xml:space="preserve"> </w:t>
      </w:r>
      <w:proofErr w:type="gramStart"/>
      <w:r>
        <w:t>Average LY294002-residue electrostatic interaction energy in the allosteric pocket.</w:t>
      </w:r>
      <w:proofErr w:type="gramEnd"/>
    </w:p>
    <w:p w:rsidR="00AD3718" w:rsidRDefault="00AD3718" w:rsidP="0005734E">
      <w:pPr>
        <w:jc w:val="center"/>
      </w:pPr>
    </w:p>
    <w:p w:rsidR="00AD3718" w:rsidRDefault="00AD3718" w:rsidP="0005734E">
      <w:pPr>
        <w:jc w:val="center"/>
      </w:pPr>
    </w:p>
    <w:p w:rsidR="00AD3718" w:rsidRDefault="00AD3718" w:rsidP="0005734E">
      <w:pPr>
        <w:jc w:val="center"/>
      </w:pPr>
    </w:p>
    <w:p w:rsidR="00AD3718" w:rsidRDefault="00AD3718" w:rsidP="0005734E">
      <w:pPr>
        <w:jc w:val="center"/>
      </w:pPr>
    </w:p>
    <w:p w:rsidR="00AD3718" w:rsidRDefault="00AD3718" w:rsidP="0005734E">
      <w:pPr>
        <w:jc w:val="center"/>
      </w:pPr>
    </w:p>
    <w:p w:rsidR="00AD3718" w:rsidRDefault="00AD3718" w:rsidP="00AD3718">
      <w:pPr>
        <w:rPr>
          <w:b/>
          <w:sz w:val="24"/>
          <w:szCs w:val="24"/>
        </w:rPr>
      </w:pPr>
      <w:r w:rsidRPr="00AD3718">
        <w:rPr>
          <w:b/>
          <w:sz w:val="24"/>
          <w:szCs w:val="24"/>
        </w:rPr>
        <w:lastRenderedPageBreak/>
        <w:t>C.4 Comparison between LY294002 and PIK-108 binding modes</w:t>
      </w:r>
    </w:p>
    <w:p w:rsidR="00AD3718" w:rsidRDefault="00847426" w:rsidP="00847426">
      <w:pPr>
        <w:jc w:val="center"/>
        <w:rPr>
          <w:b/>
          <w:sz w:val="24"/>
          <w:szCs w:val="24"/>
        </w:rPr>
      </w:pPr>
      <w:r>
        <w:rPr>
          <w:b/>
          <w:noProof/>
          <w:sz w:val="24"/>
          <w:szCs w:val="24"/>
        </w:rPr>
        <w:drawing>
          <wp:inline distT="0" distB="0" distL="0" distR="0">
            <wp:extent cx="4039592" cy="6014508"/>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2136" cy="6018295"/>
                    </a:xfrm>
                    <a:prstGeom prst="rect">
                      <a:avLst/>
                    </a:prstGeom>
                    <a:noFill/>
                    <a:ln>
                      <a:noFill/>
                    </a:ln>
                  </pic:spPr>
                </pic:pic>
              </a:graphicData>
            </a:graphic>
          </wp:inline>
        </w:drawing>
      </w:r>
    </w:p>
    <w:p w:rsidR="00847426" w:rsidRDefault="00847426" w:rsidP="00B22ED0">
      <w:pPr>
        <w:jc w:val="both"/>
      </w:pPr>
      <w:proofErr w:type="gramStart"/>
      <w:r w:rsidRPr="0010274A">
        <w:rPr>
          <w:b/>
        </w:rPr>
        <w:t xml:space="preserve">Figure </w:t>
      </w:r>
      <w:r>
        <w:rPr>
          <w:b/>
        </w:rPr>
        <w:t>16</w:t>
      </w:r>
      <w:r>
        <w:t>.</w:t>
      </w:r>
      <w:proofErr w:type="gramEnd"/>
      <w:r>
        <w:t xml:space="preserve"> Binding poses of PIK-108 (top) and LY294002 (bottom) in the non-ATP pocket of the WT protein. The snapshots were extracted from the first cluster representatives of the respective simulations</w:t>
      </w:r>
      <w:r w:rsidR="00B22ED0">
        <w:t>.</w:t>
      </w:r>
      <w:r>
        <w:t xml:space="preserve"> </w:t>
      </w:r>
    </w:p>
    <w:p w:rsidR="003F20E8" w:rsidRDefault="003F20E8" w:rsidP="00B22ED0">
      <w:pPr>
        <w:jc w:val="both"/>
      </w:pPr>
    </w:p>
    <w:p w:rsidR="003F20E8" w:rsidRDefault="003F20E8" w:rsidP="00B22ED0">
      <w:pPr>
        <w:jc w:val="both"/>
      </w:pPr>
    </w:p>
    <w:p w:rsidR="003F20E8" w:rsidRDefault="003F20E8" w:rsidP="00B22ED0">
      <w:pPr>
        <w:jc w:val="both"/>
      </w:pPr>
    </w:p>
    <w:p w:rsidR="003F20E8" w:rsidRDefault="003F20E8" w:rsidP="000D66F7">
      <w:pPr>
        <w:jc w:val="center"/>
      </w:pPr>
      <w:r>
        <w:rPr>
          <w:noProof/>
        </w:rPr>
        <w:lastRenderedPageBreak/>
        <w:drawing>
          <wp:inline distT="0" distB="0" distL="0" distR="0">
            <wp:extent cx="3214035" cy="2057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2699" cy="2062946"/>
                    </a:xfrm>
                    <a:prstGeom prst="rect">
                      <a:avLst/>
                    </a:prstGeom>
                    <a:noFill/>
                    <a:ln>
                      <a:noFill/>
                    </a:ln>
                  </pic:spPr>
                </pic:pic>
              </a:graphicData>
            </a:graphic>
          </wp:inline>
        </w:drawing>
      </w:r>
    </w:p>
    <w:p w:rsidR="005974E9" w:rsidRDefault="003F20E8" w:rsidP="003F20E8">
      <w:pPr>
        <w:jc w:val="both"/>
      </w:pPr>
      <w:proofErr w:type="gramStart"/>
      <w:r w:rsidRPr="0010274A">
        <w:rPr>
          <w:b/>
        </w:rPr>
        <w:t xml:space="preserve">Figure </w:t>
      </w:r>
      <w:r>
        <w:rPr>
          <w:b/>
        </w:rPr>
        <w:t>17</w:t>
      </w:r>
      <w:r>
        <w:t>.</w:t>
      </w:r>
      <w:proofErr w:type="gramEnd"/>
      <w:r>
        <w:t xml:space="preserve"> </w:t>
      </w:r>
      <w:proofErr w:type="gramStart"/>
      <w:r>
        <w:t>Superimposition of the two ligands</w:t>
      </w:r>
      <w:r w:rsidR="00540F4A">
        <w:t xml:space="preserve"> in the non-ATP pocket</w:t>
      </w:r>
      <w:r w:rsidR="00EE717C">
        <w:t xml:space="preserve"> of the WT human protein</w:t>
      </w:r>
      <w:r>
        <w:t xml:space="preserve"> after binding site alignment.</w:t>
      </w:r>
      <w:proofErr w:type="gramEnd"/>
      <w:r>
        <w:t xml:space="preserve"> The three key residues Leu956, Phe980, and His1047 are shown in VDW representation in cyan for the PIK-108 system and in blue for the LY294002 system.</w:t>
      </w:r>
      <w:r w:rsidR="005A4FDD">
        <w:t xml:space="preserve"> </w:t>
      </w:r>
    </w:p>
    <w:p w:rsidR="003F20E8" w:rsidRDefault="003F20E8" w:rsidP="003F20E8">
      <w:pPr>
        <w:jc w:val="both"/>
      </w:pPr>
    </w:p>
    <w:p w:rsidR="003F20E8" w:rsidRDefault="000D66F7" w:rsidP="000D66F7">
      <w:pPr>
        <w:jc w:val="center"/>
      </w:pPr>
      <w:r>
        <w:rPr>
          <w:noProof/>
        </w:rPr>
        <w:drawing>
          <wp:inline distT="0" distB="0" distL="0" distR="0">
            <wp:extent cx="4104753" cy="2467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114" cy="2467232"/>
                    </a:xfrm>
                    <a:prstGeom prst="rect">
                      <a:avLst/>
                    </a:prstGeom>
                    <a:noFill/>
                    <a:ln>
                      <a:noFill/>
                    </a:ln>
                  </pic:spPr>
                </pic:pic>
              </a:graphicData>
            </a:graphic>
          </wp:inline>
        </w:drawing>
      </w:r>
    </w:p>
    <w:p w:rsidR="000D66F7" w:rsidRDefault="000D66F7" w:rsidP="000D66F7">
      <w:pPr>
        <w:jc w:val="both"/>
      </w:pPr>
      <w:proofErr w:type="gramStart"/>
      <w:r w:rsidRPr="0010274A">
        <w:rPr>
          <w:b/>
        </w:rPr>
        <w:t xml:space="preserve">Figure </w:t>
      </w:r>
      <w:r>
        <w:rPr>
          <w:b/>
        </w:rPr>
        <w:t>1</w:t>
      </w:r>
      <w:r w:rsidR="00012576">
        <w:rPr>
          <w:b/>
        </w:rPr>
        <w:t>8</w:t>
      </w:r>
      <w:r>
        <w:t>.</w:t>
      </w:r>
      <w:proofErr w:type="gramEnd"/>
      <w:r>
        <w:t xml:space="preserve"> </w:t>
      </w:r>
      <w:proofErr w:type="gramStart"/>
      <w:r>
        <w:t>Superimposition of the two ligands in the</w:t>
      </w:r>
      <w:r w:rsidR="00012576">
        <w:t xml:space="preserve"> </w:t>
      </w:r>
      <w:r>
        <w:t>ATP pocket</w:t>
      </w:r>
      <w:r w:rsidR="00EE717C">
        <w:t xml:space="preserve"> of the WT human protein</w:t>
      </w:r>
      <w:r>
        <w:t xml:space="preserve"> after binding site alignment.</w:t>
      </w:r>
      <w:proofErr w:type="gramEnd"/>
      <w:r>
        <w:t xml:space="preserve"> The three key residues </w:t>
      </w:r>
      <w:r w:rsidR="00012576">
        <w:t>Met772</w:t>
      </w:r>
      <w:r>
        <w:t xml:space="preserve">, </w:t>
      </w:r>
      <w:r w:rsidR="00012576">
        <w:t>Val851</w:t>
      </w:r>
      <w:r>
        <w:t xml:space="preserve">, and </w:t>
      </w:r>
      <w:r w:rsidR="00012576">
        <w:t>Asp933</w:t>
      </w:r>
      <w:r>
        <w:t xml:space="preserve"> are shown in VDW representation in cyan for the PIK-108 system and in blue for the LY294002 system. </w:t>
      </w:r>
    </w:p>
    <w:p w:rsidR="00AD3718" w:rsidRDefault="00AD3718" w:rsidP="00AD3718">
      <w:pPr>
        <w:rPr>
          <w:b/>
          <w:sz w:val="24"/>
          <w:szCs w:val="24"/>
        </w:rPr>
      </w:pPr>
    </w:p>
    <w:p w:rsidR="00940BEB" w:rsidRDefault="00940BEB" w:rsidP="00AD3718">
      <w:pPr>
        <w:rPr>
          <w:b/>
          <w:sz w:val="24"/>
          <w:szCs w:val="24"/>
        </w:rPr>
      </w:pPr>
    </w:p>
    <w:p w:rsidR="00940BEB" w:rsidRDefault="00940BEB" w:rsidP="00AD3718">
      <w:pPr>
        <w:rPr>
          <w:b/>
          <w:sz w:val="24"/>
          <w:szCs w:val="24"/>
        </w:rPr>
      </w:pPr>
    </w:p>
    <w:p w:rsidR="00940BEB" w:rsidRDefault="00940BEB" w:rsidP="00AD3718">
      <w:pPr>
        <w:rPr>
          <w:b/>
          <w:sz w:val="24"/>
          <w:szCs w:val="24"/>
        </w:rPr>
      </w:pPr>
    </w:p>
    <w:p w:rsidR="00940BEB" w:rsidRDefault="00940BEB" w:rsidP="00AD3718">
      <w:pPr>
        <w:rPr>
          <w:b/>
          <w:sz w:val="24"/>
          <w:szCs w:val="24"/>
        </w:rPr>
      </w:pPr>
    </w:p>
    <w:p w:rsidR="00940BEB" w:rsidRDefault="00940BEB" w:rsidP="00940BEB">
      <w:pPr>
        <w:jc w:val="center"/>
        <w:rPr>
          <w:b/>
          <w:sz w:val="24"/>
          <w:szCs w:val="24"/>
        </w:rPr>
      </w:pPr>
      <w:r>
        <w:rPr>
          <w:b/>
          <w:noProof/>
          <w:sz w:val="24"/>
          <w:szCs w:val="24"/>
        </w:rPr>
        <w:lastRenderedPageBreak/>
        <w:drawing>
          <wp:inline distT="0" distB="0" distL="0" distR="0">
            <wp:extent cx="4392184" cy="6529212"/>
            <wp:effectExtent l="0" t="0" r="889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7773" cy="6537520"/>
                    </a:xfrm>
                    <a:prstGeom prst="rect">
                      <a:avLst/>
                    </a:prstGeom>
                    <a:noFill/>
                    <a:ln>
                      <a:noFill/>
                    </a:ln>
                  </pic:spPr>
                </pic:pic>
              </a:graphicData>
            </a:graphic>
          </wp:inline>
        </w:drawing>
      </w:r>
    </w:p>
    <w:p w:rsidR="00940BEB" w:rsidRDefault="00940BEB" w:rsidP="00940BEB">
      <w:pPr>
        <w:jc w:val="both"/>
      </w:pPr>
      <w:proofErr w:type="gramStart"/>
      <w:r w:rsidRPr="0010274A">
        <w:rPr>
          <w:b/>
        </w:rPr>
        <w:t xml:space="preserve">Figure </w:t>
      </w:r>
      <w:r>
        <w:rPr>
          <w:b/>
        </w:rPr>
        <w:t>19</w:t>
      </w:r>
      <w:r>
        <w:t>.</w:t>
      </w:r>
      <w:proofErr w:type="gramEnd"/>
      <w:r>
        <w:t xml:space="preserve"> Binding poses of PIK-108 (top) and LY294002 (bottom) in the non-ATP pocket of the H1047R mutant protein. The snapshots were extracted from the first cluster representatives of the respective simulations. </w:t>
      </w:r>
    </w:p>
    <w:p w:rsidR="00940BEB" w:rsidRDefault="00940BEB" w:rsidP="00940BEB">
      <w:pPr>
        <w:jc w:val="center"/>
        <w:rPr>
          <w:b/>
          <w:sz w:val="24"/>
          <w:szCs w:val="24"/>
        </w:rPr>
      </w:pPr>
    </w:p>
    <w:p w:rsidR="00940BEB" w:rsidRDefault="00940BEB" w:rsidP="00940BEB">
      <w:pPr>
        <w:jc w:val="center"/>
        <w:rPr>
          <w:b/>
          <w:sz w:val="24"/>
          <w:szCs w:val="24"/>
        </w:rPr>
      </w:pPr>
    </w:p>
    <w:p w:rsidR="00940BEB" w:rsidRDefault="004018E8" w:rsidP="00940BEB">
      <w:pPr>
        <w:jc w:val="center"/>
        <w:rPr>
          <w:b/>
          <w:sz w:val="24"/>
          <w:szCs w:val="24"/>
        </w:rPr>
      </w:pPr>
      <w:r>
        <w:rPr>
          <w:b/>
          <w:noProof/>
          <w:sz w:val="24"/>
          <w:szCs w:val="24"/>
        </w:rPr>
        <w:lastRenderedPageBreak/>
        <w:drawing>
          <wp:inline distT="0" distB="0" distL="0" distR="0">
            <wp:extent cx="5286375" cy="3954795"/>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3954795"/>
                    </a:xfrm>
                    <a:prstGeom prst="rect">
                      <a:avLst/>
                    </a:prstGeom>
                    <a:noFill/>
                    <a:ln>
                      <a:noFill/>
                    </a:ln>
                  </pic:spPr>
                </pic:pic>
              </a:graphicData>
            </a:graphic>
          </wp:inline>
        </w:drawing>
      </w:r>
    </w:p>
    <w:p w:rsidR="004018E8" w:rsidRDefault="004018E8" w:rsidP="004018E8">
      <w:pPr>
        <w:jc w:val="both"/>
      </w:pPr>
      <w:proofErr w:type="gramStart"/>
      <w:r w:rsidRPr="0010274A">
        <w:rPr>
          <w:b/>
        </w:rPr>
        <w:t xml:space="preserve">Figure </w:t>
      </w:r>
      <w:r>
        <w:rPr>
          <w:b/>
        </w:rPr>
        <w:t>20.</w:t>
      </w:r>
      <w:proofErr w:type="gramEnd"/>
      <w:r>
        <w:t xml:space="preserve"> </w:t>
      </w:r>
      <w:proofErr w:type="gramStart"/>
      <w:r>
        <w:t>Superimposition of the two ligands in the ATP pocket of the H1047R human protein after binding site alignment.</w:t>
      </w:r>
      <w:proofErr w:type="gramEnd"/>
      <w:r>
        <w:t xml:space="preserve"> The three key residues Met772, Val851, and Asp933 are shown in VDW representation in cyan for the PIK-108 system and in blue for the LY294002 system. </w:t>
      </w:r>
    </w:p>
    <w:p w:rsidR="00CB5A4A" w:rsidRDefault="00CB5A4A" w:rsidP="00C03598">
      <w:pPr>
        <w:rPr>
          <w:b/>
          <w:sz w:val="24"/>
          <w:szCs w:val="24"/>
        </w:rPr>
      </w:pPr>
    </w:p>
    <w:p w:rsidR="00C03598" w:rsidRPr="00C00819" w:rsidRDefault="00C00819" w:rsidP="00C03598">
      <w:pPr>
        <w:rPr>
          <w:b/>
          <w:sz w:val="24"/>
          <w:szCs w:val="24"/>
        </w:rPr>
      </w:pPr>
      <w:r w:rsidRPr="00C00819">
        <w:rPr>
          <w:b/>
          <w:sz w:val="24"/>
          <w:szCs w:val="24"/>
        </w:rPr>
        <w:t>D. Discussion</w:t>
      </w:r>
    </w:p>
    <w:p w:rsidR="00C03598" w:rsidRDefault="00C03598" w:rsidP="00675CF3">
      <w:pPr>
        <w:jc w:val="both"/>
      </w:pPr>
      <w:r>
        <w:t>- Our simulations are in good agreement with av</w:t>
      </w:r>
      <w:r w:rsidR="00C00819">
        <w:t>ailable experimental data [Hon2012, Mandelker2009]</w:t>
      </w:r>
    </w:p>
    <w:p w:rsidR="00C03598" w:rsidRDefault="00C03598" w:rsidP="00675CF3">
      <w:pPr>
        <w:jc w:val="both"/>
      </w:pPr>
      <w:r>
        <w:t>- All the key interactions of PIK-108 both in the ATP-binding and the allosteric pocket were captured. PIK-108 remained stable in both sites in all three variants.</w:t>
      </w:r>
      <w:r w:rsidR="00CB2628">
        <w:t xml:space="preserve"> Same stands for LY294002.</w:t>
      </w:r>
    </w:p>
    <w:p w:rsidR="00CB5A4A" w:rsidRDefault="00CB5A4A" w:rsidP="00675CF3">
      <w:pPr>
        <w:jc w:val="both"/>
      </w:pPr>
      <w:r>
        <w:t xml:space="preserve">- LY294002 and PIK-108 have very similar poses and interactions in the catalytic pocket. </w:t>
      </w:r>
    </w:p>
    <w:p w:rsidR="00CB5A4A" w:rsidRDefault="00CB5A4A" w:rsidP="00675CF3">
      <w:pPr>
        <w:jc w:val="both"/>
      </w:pPr>
      <w:r>
        <w:t>-</w:t>
      </w:r>
      <w:r w:rsidRPr="00CB5A4A">
        <w:t xml:space="preserve"> </w:t>
      </w:r>
      <w:r>
        <w:t>Despite its smaller size, LY294002 interacts with the same protein residues as PIK-108 in both pockets in the WT protein. This similarity is striking especially in the ATP binding pocket.</w:t>
      </w:r>
    </w:p>
    <w:sectPr w:rsidR="00CB5A4A" w:rsidSect="00027AFB">
      <w:footerReference w:type="default" r:id="rId3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1A36" w:rsidRDefault="00491A36" w:rsidP="002C092A">
      <w:pPr>
        <w:spacing w:after="0" w:line="240" w:lineRule="auto"/>
      </w:pPr>
      <w:r>
        <w:separator/>
      </w:r>
    </w:p>
  </w:endnote>
  <w:endnote w:type="continuationSeparator" w:id="0">
    <w:p w:rsidR="00491A36" w:rsidRDefault="00491A36" w:rsidP="002C092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dvTimes-b">
    <w:panose1 w:val="00000000000000000000"/>
    <w:charset w:val="00"/>
    <w:family w:val="auto"/>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0222077"/>
      <w:docPartObj>
        <w:docPartGallery w:val="Page Numbers (Bottom of Page)"/>
        <w:docPartUnique/>
      </w:docPartObj>
    </w:sdtPr>
    <w:sdtEndPr>
      <w:rPr>
        <w:noProof/>
      </w:rPr>
    </w:sdtEndPr>
    <w:sdtContent>
      <w:p w:rsidR="00491A36" w:rsidRDefault="00491A36">
        <w:pPr>
          <w:pStyle w:val="Footer"/>
          <w:jc w:val="right"/>
        </w:pPr>
        <w:fldSimple w:instr=" PAGE   \* MERGEFORMAT ">
          <w:r w:rsidR="00AB2D50">
            <w:rPr>
              <w:noProof/>
            </w:rPr>
            <w:t>19</w:t>
          </w:r>
        </w:fldSimple>
      </w:p>
    </w:sdtContent>
  </w:sdt>
  <w:p w:rsidR="00491A36" w:rsidRDefault="00491A3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1A36" w:rsidRDefault="00491A36" w:rsidP="002C092A">
      <w:pPr>
        <w:spacing w:after="0" w:line="240" w:lineRule="auto"/>
      </w:pPr>
      <w:r>
        <w:separator/>
      </w:r>
    </w:p>
  </w:footnote>
  <w:footnote w:type="continuationSeparator" w:id="0">
    <w:p w:rsidR="00491A36" w:rsidRDefault="00491A36" w:rsidP="002C092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3B64D21"/>
    <w:multiLevelType w:val="hybridMultilevel"/>
    <w:tmpl w:val="405C7836"/>
    <w:lvl w:ilvl="0" w:tplc="98604278">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6F1DEB"/>
    <w:rsid w:val="000115CA"/>
    <w:rsid w:val="00012576"/>
    <w:rsid w:val="00026CC2"/>
    <w:rsid w:val="00027AFB"/>
    <w:rsid w:val="00056A6F"/>
    <w:rsid w:val="0005734E"/>
    <w:rsid w:val="00086657"/>
    <w:rsid w:val="000D66F7"/>
    <w:rsid w:val="000D7BDE"/>
    <w:rsid w:val="0010274A"/>
    <w:rsid w:val="00112063"/>
    <w:rsid w:val="0016481F"/>
    <w:rsid w:val="001A6216"/>
    <w:rsid w:val="001C3395"/>
    <w:rsid w:val="001F1B22"/>
    <w:rsid w:val="00203F90"/>
    <w:rsid w:val="00250CC8"/>
    <w:rsid w:val="00273DA2"/>
    <w:rsid w:val="00296C97"/>
    <w:rsid w:val="002A4670"/>
    <w:rsid w:val="002C092A"/>
    <w:rsid w:val="002D2E2D"/>
    <w:rsid w:val="00322A47"/>
    <w:rsid w:val="0034003E"/>
    <w:rsid w:val="00373480"/>
    <w:rsid w:val="00384388"/>
    <w:rsid w:val="00393561"/>
    <w:rsid w:val="00395560"/>
    <w:rsid w:val="00397A65"/>
    <w:rsid w:val="003F20E8"/>
    <w:rsid w:val="004018E8"/>
    <w:rsid w:val="00491A36"/>
    <w:rsid w:val="004C7845"/>
    <w:rsid w:val="004E5A8A"/>
    <w:rsid w:val="00540F4A"/>
    <w:rsid w:val="00544EDD"/>
    <w:rsid w:val="0054506D"/>
    <w:rsid w:val="00564F47"/>
    <w:rsid w:val="005974E9"/>
    <w:rsid w:val="005A4FDD"/>
    <w:rsid w:val="005B18B9"/>
    <w:rsid w:val="005F741F"/>
    <w:rsid w:val="00655267"/>
    <w:rsid w:val="00666B37"/>
    <w:rsid w:val="00675CF3"/>
    <w:rsid w:val="006B1746"/>
    <w:rsid w:val="006D54D6"/>
    <w:rsid w:val="006D6BD6"/>
    <w:rsid w:val="006E0C94"/>
    <w:rsid w:val="006F1DEB"/>
    <w:rsid w:val="00716D1D"/>
    <w:rsid w:val="0075411E"/>
    <w:rsid w:val="00792967"/>
    <w:rsid w:val="007A5E41"/>
    <w:rsid w:val="007D0DAC"/>
    <w:rsid w:val="007D3113"/>
    <w:rsid w:val="007F2FD5"/>
    <w:rsid w:val="00804587"/>
    <w:rsid w:val="0082632D"/>
    <w:rsid w:val="00841F42"/>
    <w:rsid w:val="0084493E"/>
    <w:rsid w:val="00847426"/>
    <w:rsid w:val="00891E8E"/>
    <w:rsid w:val="00897C9A"/>
    <w:rsid w:val="00940BEB"/>
    <w:rsid w:val="009633D0"/>
    <w:rsid w:val="00A67671"/>
    <w:rsid w:val="00A9665C"/>
    <w:rsid w:val="00A96FA4"/>
    <w:rsid w:val="00AB180D"/>
    <w:rsid w:val="00AB2D50"/>
    <w:rsid w:val="00AD104E"/>
    <w:rsid w:val="00AD3718"/>
    <w:rsid w:val="00AF383F"/>
    <w:rsid w:val="00B22ED0"/>
    <w:rsid w:val="00B63E39"/>
    <w:rsid w:val="00B77384"/>
    <w:rsid w:val="00BD2F2D"/>
    <w:rsid w:val="00BD6BA8"/>
    <w:rsid w:val="00C00819"/>
    <w:rsid w:val="00C03598"/>
    <w:rsid w:val="00C25993"/>
    <w:rsid w:val="00C60F2C"/>
    <w:rsid w:val="00C76538"/>
    <w:rsid w:val="00C86224"/>
    <w:rsid w:val="00CA4A84"/>
    <w:rsid w:val="00CB2628"/>
    <w:rsid w:val="00CB5A4A"/>
    <w:rsid w:val="00D03482"/>
    <w:rsid w:val="00D37717"/>
    <w:rsid w:val="00D52A1A"/>
    <w:rsid w:val="00D73470"/>
    <w:rsid w:val="00D76E3A"/>
    <w:rsid w:val="00D87D3A"/>
    <w:rsid w:val="00DA0049"/>
    <w:rsid w:val="00DE7C86"/>
    <w:rsid w:val="00E03187"/>
    <w:rsid w:val="00E03D33"/>
    <w:rsid w:val="00E04FA4"/>
    <w:rsid w:val="00EB521E"/>
    <w:rsid w:val="00ED50CE"/>
    <w:rsid w:val="00EE717C"/>
    <w:rsid w:val="00F4269C"/>
    <w:rsid w:val="00F567BA"/>
    <w:rsid w:val="00F62B76"/>
    <w:rsid w:val="00FB7591"/>
    <w:rsid w:val="00FD0133"/>
    <w:rsid w:val="00FF25D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0BE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3598"/>
    <w:pPr>
      <w:ind w:left="720"/>
      <w:contextualSpacing/>
    </w:pPr>
  </w:style>
  <w:style w:type="paragraph" w:styleId="BalloonText">
    <w:name w:val="Balloon Text"/>
    <w:basedOn w:val="Normal"/>
    <w:link w:val="BalloonTextChar"/>
    <w:uiPriority w:val="99"/>
    <w:semiHidden/>
    <w:unhideWhenUsed/>
    <w:rsid w:val="001C33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395"/>
    <w:rPr>
      <w:rFonts w:ascii="Tahoma" w:hAnsi="Tahoma" w:cs="Tahoma"/>
      <w:sz w:val="16"/>
      <w:szCs w:val="16"/>
    </w:rPr>
  </w:style>
  <w:style w:type="table" w:styleId="TableGrid">
    <w:name w:val="Table Grid"/>
    <w:basedOn w:val="TableNormal"/>
    <w:uiPriority w:val="59"/>
    <w:rsid w:val="007F2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C09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092A"/>
  </w:style>
  <w:style w:type="paragraph" w:styleId="Footer">
    <w:name w:val="footer"/>
    <w:basedOn w:val="Normal"/>
    <w:link w:val="FooterChar"/>
    <w:uiPriority w:val="99"/>
    <w:unhideWhenUsed/>
    <w:rsid w:val="002C09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092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0BE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3598"/>
    <w:pPr>
      <w:ind w:left="720"/>
      <w:contextualSpacing/>
    </w:pPr>
  </w:style>
  <w:style w:type="paragraph" w:styleId="BalloonText">
    <w:name w:val="Balloon Text"/>
    <w:basedOn w:val="Normal"/>
    <w:link w:val="BalloonTextChar"/>
    <w:uiPriority w:val="99"/>
    <w:semiHidden/>
    <w:unhideWhenUsed/>
    <w:rsid w:val="001C33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395"/>
    <w:rPr>
      <w:rFonts w:ascii="Tahoma" w:hAnsi="Tahoma" w:cs="Tahoma"/>
      <w:sz w:val="16"/>
      <w:szCs w:val="16"/>
    </w:rPr>
  </w:style>
  <w:style w:type="table" w:styleId="TableGrid">
    <w:name w:val="Table Grid"/>
    <w:basedOn w:val="TableNormal"/>
    <w:uiPriority w:val="59"/>
    <w:rsid w:val="007F2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C09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092A"/>
  </w:style>
  <w:style w:type="paragraph" w:styleId="Footer">
    <w:name w:val="footer"/>
    <w:basedOn w:val="Normal"/>
    <w:link w:val="FooterChar"/>
    <w:uiPriority w:val="99"/>
    <w:unhideWhenUsed/>
    <w:rsid w:val="002C09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092A"/>
  </w:style>
</w:styles>
</file>

<file path=word/webSettings.xml><?xml version="1.0" encoding="utf-8"?>
<w:webSettings xmlns:r="http://schemas.openxmlformats.org/officeDocument/2006/relationships" xmlns:w="http://schemas.openxmlformats.org/wordprocessingml/2006/main">
  <w:divs>
    <w:div w:id="524904366">
      <w:bodyDiv w:val="1"/>
      <w:marLeft w:val="0"/>
      <w:marRight w:val="0"/>
      <w:marTop w:val="0"/>
      <w:marBottom w:val="0"/>
      <w:divBdr>
        <w:top w:val="none" w:sz="0" w:space="0" w:color="auto"/>
        <w:left w:val="none" w:sz="0" w:space="0" w:color="auto"/>
        <w:bottom w:val="none" w:sz="0" w:space="0" w:color="auto"/>
        <w:right w:val="none" w:sz="0" w:space="0" w:color="auto"/>
      </w:divBdr>
    </w:div>
    <w:div w:id="641691897">
      <w:bodyDiv w:val="1"/>
      <w:marLeft w:val="0"/>
      <w:marRight w:val="0"/>
      <w:marTop w:val="0"/>
      <w:marBottom w:val="0"/>
      <w:divBdr>
        <w:top w:val="none" w:sz="0" w:space="0" w:color="auto"/>
        <w:left w:val="none" w:sz="0" w:space="0" w:color="auto"/>
        <w:bottom w:val="none" w:sz="0" w:space="0" w:color="auto"/>
        <w:right w:val="none" w:sz="0" w:space="0" w:color="auto"/>
      </w:divBdr>
    </w:div>
    <w:div w:id="1500658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740390-CFD1-426A-83DD-51CE84EAC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TotalTime>
  <Pages>19</Pages>
  <Words>2708</Words>
  <Characters>15442</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evi</dc:creator>
  <cp:lastModifiedBy>Zoe Cournia</cp:lastModifiedBy>
  <cp:revision>47</cp:revision>
  <cp:lastPrinted>2013-07-05T12:53:00Z</cp:lastPrinted>
  <dcterms:created xsi:type="dcterms:W3CDTF">2013-07-04T08:51:00Z</dcterms:created>
  <dcterms:modified xsi:type="dcterms:W3CDTF">2013-07-15T11:01:00Z</dcterms:modified>
</cp:coreProperties>
</file>